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0399095"/>
    <w:p w14:paraId="54BD9BAB" w14:textId="77777777" w:rsidR="004966DB" w:rsidRPr="00391340" w:rsidRDefault="004966DB" w:rsidP="004966DB">
      <w:pPr>
        <w:spacing w:after="0" w:line="276" w:lineRule="auto"/>
        <w:jc w:val="center"/>
        <w:rPr>
          <w:rFonts w:ascii="Times New Roman" w:hAnsi="Times New Roman" w:cs="Times New Roman"/>
          <w:b/>
          <w:bCs/>
          <w:noProof/>
          <w:sz w:val="24"/>
          <w:szCs w:val="24"/>
        </w:rPr>
      </w:pPr>
      <w:r w:rsidRPr="00391340">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C7A38BA" wp14:editId="17DEFADC">
                <wp:simplePos x="0" y="0"/>
                <wp:positionH relativeFrom="column">
                  <wp:posOffset>820713</wp:posOffset>
                </wp:positionH>
                <wp:positionV relativeFrom="paragraph">
                  <wp:posOffset>-493395</wp:posOffset>
                </wp:positionV>
                <wp:extent cx="3829050" cy="1524000"/>
                <wp:effectExtent l="0" t="0" r="19050" b="19050"/>
                <wp:wrapNone/>
                <wp:docPr id="30" name="Zone de texte 30"/>
                <wp:cNvGraphicFramePr/>
                <a:graphic xmlns:a="http://schemas.openxmlformats.org/drawingml/2006/main">
                  <a:graphicData uri="http://schemas.microsoft.com/office/word/2010/wordprocessingShape">
                    <wps:wsp>
                      <wps:cNvSpPr txBox="1"/>
                      <wps:spPr>
                        <a:xfrm>
                          <a:off x="0" y="0"/>
                          <a:ext cx="3829050" cy="1524000"/>
                        </a:xfrm>
                        <a:prstGeom prst="rect">
                          <a:avLst/>
                        </a:prstGeom>
                        <a:solidFill>
                          <a:sysClr val="window" lastClr="FFFFFF"/>
                        </a:solidFill>
                        <a:ln w="6350">
                          <a:solidFill>
                            <a:sysClr val="window" lastClr="FFFFFF"/>
                          </a:solidFill>
                        </a:ln>
                      </wps:spPr>
                      <wps:txbx>
                        <w:txbxContent>
                          <w:p w14:paraId="41BFACEA" w14:textId="77777777" w:rsidR="004966DB" w:rsidRPr="008B6307" w:rsidRDefault="004966DB" w:rsidP="004966DB">
                            <w:pPr>
                              <w:autoSpaceDE w:val="0"/>
                              <w:autoSpaceDN w:val="0"/>
                              <w:adjustRightInd w:val="0"/>
                              <w:spacing w:after="0" w:line="240" w:lineRule="auto"/>
                              <w:jc w:val="center"/>
                              <w:rPr>
                                <w:rFonts w:ascii="Times New Roman" w:hAnsi="Times New Roman" w:cs="Times New Roman"/>
                                <w:b/>
                                <w:bCs/>
                                <w:lang w:eastAsia="fr-FR"/>
                              </w:rPr>
                            </w:pPr>
                            <w:r w:rsidRPr="008B6307">
                              <w:rPr>
                                <w:rFonts w:ascii="Times New Roman" w:hAnsi="Times New Roman" w:cs="Times New Roman"/>
                                <w:b/>
                                <w:bCs/>
                                <w:lang w:eastAsia="fr-FR"/>
                              </w:rPr>
                              <w:t>REPUBLIQUE DU NIGER</w:t>
                            </w:r>
                          </w:p>
                          <w:p w14:paraId="71596A24" w14:textId="77777777" w:rsidR="004966DB" w:rsidRPr="008B6307" w:rsidRDefault="004966DB" w:rsidP="004966DB">
                            <w:pPr>
                              <w:autoSpaceDE w:val="0"/>
                              <w:autoSpaceDN w:val="0"/>
                              <w:adjustRightInd w:val="0"/>
                              <w:spacing w:after="0" w:line="240" w:lineRule="auto"/>
                              <w:jc w:val="center"/>
                              <w:rPr>
                                <w:rFonts w:ascii="Times New Roman" w:hAnsi="Times New Roman" w:cs="Times New Roman"/>
                                <w:sz w:val="20"/>
                                <w:szCs w:val="18"/>
                                <w:lang w:eastAsia="fr-FR"/>
                              </w:rPr>
                            </w:pPr>
                            <w:r w:rsidRPr="008B6307">
                              <w:rPr>
                                <w:rFonts w:ascii="Times New Roman" w:hAnsi="Times New Roman" w:cs="Times New Roman"/>
                                <w:sz w:val="20"/>
                                <w:szCs w:val="18"/>
                                <w:lang w:eastAsia="fr-FR"/>
                              </w:rPr>
                              <w:t>Fraternité-Travail-Progrès</w:t>
                            </w:r>
                          </w:p>
                          <w:p w14:paraId="0E49DED1" w14:textId="77777777" w:rsidR="004966DB" w:rsidRPr="008B6307" w:rsidRDefault="004966DB" w:rsidP="004966DB">
                            <w:pPr>
                              <w:autoSpaceDE w:val="0"/>
                              <w:autoSpaceDN w:val="0"/>
                              <w:adjustRightInd w:val="0"/>
                              <w:spacing w:after="0" w:line="240" w:lineRule="auto"/>
                              <w:jc w:val="center"/>
                              <w:rPr>
                                <w:rFonts w:ascii="Times New Roman" w:hAnsi="Times New Roman" w:cs="Times New Roman"/>
                                <w:b/>
                                <w:bCs/>
                                <w:lang w:eastAsia="fr-FR"/>
                              </w:rPr>
                            </w:pPr>
                            <w:r w:rsidRPr="008B6307">
                              <w:rPr>
                                <w:rFonts w:ascii="Times New Roman" w:hAnsi="Times New Roman" w:cs="Times New Roman"/>
                                <w:b/>
                                <w:bCs/>
                                <w:lang w:eastAsia="fr-FR"/>
                              </w:rPr>
                              <w:t>CABINET DU PREMIER MINISTRE</w:t>
                            </w:r>
                          </w:p>
                          <w:p w14:paraId="42F5B598" w14:textId="77777777" w:rsidR="004966DB" w:rsidRPr="0041751A" w:rsidRDefault="004966DB" w:rsidP="004966DB">
                            <w:pPr>
                              <w:autoSpaceDE w:val="0"/>
                              <w:autoSpaceDN w:val="0"/>
                              <w:adjustRightInd w:val="0"/>
                              <w:spacing w:after="0" w:line="240" w:lineRule="auto"/>
                              <w:jc w:val="center"/>
                              <w:rPr>
                                <w:rFonts w:ascii="Times New Roman" w:hAnsi="Times New Roman" w:cs="Times New Roman"/>
                                <w:b/>
                                <w:bCs/>
                                <w:color w:val="1C2691"/>
                                <w:sz w:val="24"/>
                                <w:szCs w:val="24"/>
                                <w:lang w:eastAsia="fr-FR"/>
                              </w:rPr>
                            </w:pPr>
                          </w:p>
                          <w:p w14:paraId="67444E80" w14:textId="77777777" w:rsidR="004966DB" w:rsidRPr="00DA0812" w:rsidRDefault="004966DB" w:rsidP="004966DB">
                            <w:pPr>
                              <w:jc w:val="center"/>
                              <w:rPr>
                                <w:rFonts w:ascii="Times New Roman" w:hAnsi="Times New Roman" w:cs="Times New Roman"/>
                              </w:rPr>
                            </w:pPr>
                            <w:r w:rsidRPr="00F161F3">
                              <w:rPr>
                                <w:rFonts w:ascii="Ebrima" w:hAnsi="Ebrima"/>
                                <w:noProof/>
                                <w:lang w:eastAsia="fr-FR"/>
                              </w:rPr>
                              <w:drawing>
                                <wp:inline distT="0" distB="0" distL="0" distR="0" wp14:anchorId="70AE18F8" wp14:editId="6200D2B6">
                                  <wp:extent cx="908050" cy="597984"/>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299" cy="6113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08206B" id="_x0000_t202" coordsize="21600,21600" o:spt="202" path="m,l,21600r21600,l21600,xe">
                <v:stroke joinstyle="miter"/>
                <v:path gradientshapeok="t" o:connecttype="rect"/>
              </v:shapetype>
              <v:shape id="Zone de texte 30" o:spid="_x0000_s1026" type="#_x0000_t202" style="position:absolute;left:0;text-align:left;margin-left:64.6pt;margin-top:-38.85pt;width:301.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" fillcolor="window" strokecolor="window" strokeweight=".5pt">
                <v:textbox>
                  <w:txbxContent>
                    <w:p w:rsidR="004966DB" w:rsidRPr="008B6307" w:rsidRDefault="004966DB" w:rsidP="004966DB">
                      <w:pPr>
                        <w:autoSpaceDE w:val="0"/>
                        <w:autoSpaceDN w:val="0"/>
                        <w:adjustRightInd w:val="0"/>
                        <w:spacing w:after="0" w:line="240" w:lineRule="auto"/>
                        <w:jc w:val="center"/>
                        <w:rPr>
                          <w:rFonts w:ascii="Times New Roman" w:hAnsi="Times New Roman" w:cs="Times New Roman"/>
                          <w:b/>
                          <w:bCs/>
                          <w:lang w:eastAsia="fr-FR"/>
                        </w:rPr>
                      </w:pPr>
                      <w:r w:rsidRPr="008B6307">
                        <w:rPr>
                          <w:rFonts w:ascii="Times New Roman" w:hAnsi="Times New Roman" w:cs="Times New Roman"/>
                          <w:b/>
                          <w:bCs/>
                          <w:lang w:eastAsia="fr-FR"/>
                        </w:rPr>
                        <w:t>REPUBLIQUE DU NIGER</w:t>
                      </w:r>
                    </w:p>
                    <w:p w:rsidR="004966DB" w:rsidRPr="008B6307" w:rsidRDefault="004966DB" w:rsidP="004966DB">
                      <w:pPr>
                        <w:autoSpaceDE w:val="0"/>
                        <w:autoSpaceDN w:val="0"/>
                        <w:adjustRightInd w:val="0"/>
                        <w:spacing w:after="0" w:line="240" w:lineRule="auto"/>
                        <w:jc w:val="center"/>
                        <w:rPr>
                          <w:rFonts w:ascii="Times New Roman" w:hAnsi="Times New Roman" w:cs="Times New Roman"/>
                          <w:sz w:val="20"/>
                          <w:szCs w:val="18"/>
                          <w:lang w:eastAsia="fr-FR"/>
                        </w:rPr>
                      </w:pPr>
                      <w:r w:rsidRPr="008B6307">
                        <w:rPr>
                          <w:rFonts w:ascii="Times New Roman" w:hAnsi="Times New Roman" w:cs="Times New Roman"/>
                          <w:sz w:val="20"/>
                          <w:szCs w:val="18"/>
                          <w:lang w:eastAsia="fr-FR"/>
                        </w:rPr>
                        <w:t>Fraternité-Travail-Progrès</w:t>
                      </w:r>
                    </w:p>
                    <w:p w:rsidR="004966DB" w:rsidRPr="008B6307" w:rsidRDefault="004966DB" w:rsidP="004966DB">
                      <w:pPr>
                        <w:autoSpaceDE w:val="0"/>
                        <w:autoSpaceDN w:val="0"/>
                        <w:adjustRightInd w:val="0"/>
                        <w:spacing w:after="0" w:line="240" w:lineRule="auto"/>
                        <w:jc w:val="center"/>
                        <w:rPr>
                          <w:rFonts w:ascii="Times New Roman" w:hAnsi="Times New Roman" w:cs="Times New Roman"/>
                          <w:b/>
                          <w:bCs/>
                          <w:lang w:eastAsia="fr-FR"/>
                        </w:rPr>
                      </w:pPr>
                      <w:r w:rsidRPr="008B6307">
                        <w:rPr>
                          <w:rFonts w:ascii="Times New Roman" w:hAnsi="Times New Roman" w:cs="Times New Roman"/>
                          <w:b/>
                          <w:bCs/>
                          <w:lang w:eastAsia="fr-FR"/>
                        </w:rPr>
                        <w:t>CABINET DU PREMIER MINISTRE</w:t>
                      </w:r>
                    </w:p>
                    <w:p w:rsidR="004966DB" w:rsidRPr="0041751A" w:rsidRDefault="004966DB" w:rsidP="004966DB">
                      <w:pPr>
                        <w:autoSpaceDE w:val="0"/>
                        <w:autoSpaceDN w:val="0"/>
                        <w:adjustRightInd w:val="0"/>
                        <w:spacing w:after="0" w:line="240" w:lineRule="auto"/>
                        <w:jc w:val="center"/>
                        <w:rPr>
                          <w:rFonts w:ascii="Times New Roman" w:hAnsi="Times New Roman" w:cs="Times New Roman"/>
                          <w:b/>
                          <w:bCs/>
                          <w:color w:val="1C2691"/>
                          <w:sz w:val="24"/>
                          <w:szCs w:val="24"/>
                          <w:lang w:eastAsia="fr-FR"/>
                        </w:rPr>
                      </w:pPr>
                    </w:p>
                    <w:p w:rsidR="004966DB" w:rsidRPr="00DA0812" w:rsidRDefault="004966DB" w:rsidP="004966DB">
                      <w:pPr>
                        <w:jc w:val="center"/>
                        <w:rPr>
                          <w:rFonts w:ascii="Times New Roman" w:hAnsi="Times New Roman" w:cs="Times New Roman"/>
                        </w:rPr>
                      </w:pPr>
                      <w:r w:rsidRPr="00F161F3">
                        <w:rPr>
                          <w:rFonts w:ascii="Ebrima" w:hAnsi="Ebrima"/>
                          <w:noProof/>
                          <w:lang w:eastAsia="fr-FR"/>
                        </w:rPr>
                        <w:drawing>
                          <wp:inline distT="0" distB="0" distL="0" distR="0" wp14:anchorId="001F8D93" wp14:editId="5586E138">
                            <wp:extent cx="908050" cy="597984"/>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299" cy="611319"/>
                                    </a:xfrm>
                                    <a:prstGeom prst="rect">
                                      <a:avLst/>
                                    </a:prstGeom>
                                    <a:noFill/>
                                    <a:ln>
                                      <a:noFill/>
                                    </a:ln>
                                  </pic:spPr>
                                </pic:pic>
                              </a:graphicData>
                            </a:graphic>
                          </wp:inline>
                        </w:drawing>
                      </w:r>
                    </w:p>
                  </w:txbxContent>
                </v:textbox>
              </v:shape>
            </w:pict>
          </mc:Fallback>
        </mc:AlternateContent>
      </w:r>
    </w:p>
    <w:p w14:paraId="0909C61E" w14:textId="77777777" w:rsidR="004966DB" w:rsidRPr="00391340" w:rsidRDefault="004966DB" w:rsidP="004966DB">
      <w:pPr>
        <w:rPr>
          <w:rFonts w:ascii="Times New Roman" w:hAnsi="Times New Roman" w:cs="Times New Roman"/>
          <w:b/>
          <w:sz w:val="24"/>
          <w:szCs w:val="24"/>
          <w:u w:val="single"/>
          <w:lang w:val="fr-CH"/>
        </w:rPr>
      </w:pPr>
    </w:p>
    <w:p w14:paraId="57021BF4" w14:textId="77777777" w:rsidR="004966DB" w:rsidRPr="00391340" w:rsidRDefault="004966DB" w:rsidP="004966DB">
      <w:pPr>
        <w:rPr>
          <w:rFonts w:ascii="Times New Roman" w:hAnsi="Times New Roman" w:cs="Times New Roman"/>
          <w:b/>
          <w:bCs/>
          <w:sz w:val="24"/>
          <w:szCs w:val="24"/>
        </w:rPr>
      </w:pPr>
    </w:p>
    <w:p w14:paraId="06F73C2E" w14:textId="77777777" w:rsidR="004966DB" w:rsidRPr="00391340" w:rsidRDefault="004966DB" w:rsidP="004966DB">
      <w:pPr>
        <w:spacing w:before="120"/>
        <w:jc w:val="center"/>
        <w:rPr>
          <w:rFonts w:ascii="Times New Roman" w:hAnsi="Times New Roman" w:cs="Times New Roman"/>
          <w:b/>
          <w:bCs/>
          <w:sz w:val="24"/>
          <w:szCs w:val="24"/>
          <w:lang w:eastAsia="fr-FR"/>
        </w:rPr>
      </w:pPr>
    </w:p>
    <w:p w14:paraId="55CC70B3" w14:textId="77777777" w:rsidR="004966DB" w:rsidRPr="00391340" w:rsidRDefault="004966DB" w:rsidP="004966DB">
      <w:pPr>
        <w:spacing w:before="120"/>
        <w:jc w:val="center"/>
        <w:rPr>
          <w:rFonts w:ascii="Times New Roman" w:hAnsi="Times New Roman" w:cs="Times New Roman"/>
          <w:b/>
          <w:bCs/>
          <w:sz w:val="24"/>
          <w:szCs w:val="24"/>
          <w:lang w:eastAsia="fr-FR"/>
        </w:rPr>
      </w:pPr>
    </w:p>
    <w:p w14:paraId="1F0C6184" w14:textId="77777777" w:rsidR="004966DB" w:rsidRPr="00391340" w:rsidRDefault="004966DB" w:rsidP="004966DB">
      <w:pPr>
        <w:spacing w:before="120"/>
        <w:jc w:val="center"/>
        <w:rPr>
          <w:rFonts w:ascii="Times New Roman" w:hAnsi="Times New Roman" w:cs="Times New Roman"/>
          <w:b/>
          <w:bCs/>
          <w:sz w:val="24"/>
          <w:szCs w:val="24"/>
          <w:lang w:eastAsia="fr-FR"/>
        </w:rPr>
      </w:pPr>
    </w:p>
    <w:p w14:paraId="3905BA4E" w14:textId="77777777" w:rsidR="004966DB" w:rsidRPr="00391340" w:rsidRDefault="004966DB" w:rsidP="004966DB">
      <w:pPr>
        <w:spacing w:before="120"/>
        <w:jc w:val="center"/>
        <w:rPr>
          <w:rFonts w:ascii="Times New Roman" w:hAnsi="Times New Roman" w:cs="Times New Roman"/>
          <w:b/>
          <w:bCs/>
          <w:sz w:val="24"/>
          <w:szCs w:val="24"/>
          <w:lang w:eastAsia="fr-FR"/>
        </w:rPr>
      </w:pPr>
      <w:bookmarkStart w:id="1" w:name="_GoBack"/>
      <w:bookmarkEnd w:id="1"/>
    </w:p>
    <w:p w14:paraId="2BC90267" w14:textId="77777777" w:rsidR="004966DB" w:rsidRPr="00391340" w:rsidRDefault="004966DB" w:rsidP="004966DB">
      <w:pPr>
        <w:spacing w:before="120"/>
        <w:jc w:val="center"/>
        <w:rPr>
          <w:rFonts w:ascii="Times New Roman" w:hAnsi="Times New Roman" w:cs="Times New Roman"/>
          <w:b/>
          <w:bCs/>
          <w:sz w:val="24"/>
          <w:szCs w:val="24"/>
          <w:lang w:eastAsia="fr-FR"/>
        </w:rPr>
      </w:pPr>
    </w:p>
    <w:p w14:paraId="596DE882" w14:textId="77777777" w:rsidR="004966DB" w:rsidRPr="00391340" w:rsidRDefault="004966DB" w:rsidP="004966DB">
      <w:pPr>
        <w:spacing w:before="120"/>
        <w:jc w:val="center"/>
        <w:rPr>
          <w:rFonts w:ascii="Times New Roman" w:hAnsi="Times New Roman" w:cs="Times New Roman"/>
          <w:b/>
          <w:bCs/>
          <w:smallCaps/>
          <w:sz w:val="24"/>
          <w:szCs w:val="24"/>
        </w:rPr>
      </w:pPr>
      <w:r w:rsidRPr="00391340">
        <w:rPr>
          <w:rFonts w:ascii="Times New Roman" w:hAnsi="Times New Roman" w:cs="Times New Roman"/>
          <w:b/>
          <w:bCs/>
          <w:smallCaps/>
          <w:sz w:val="24"/>
          <w:szCs w:val="24"/>
        </w:rPr>
        <w:t xml:space="preserve">Plan de Gestion de la Sécurité (PGS) du </w:t>
      </w:r>
      <w:r w:rsidRPr="00391340">
        <w:rPr>
          <w:rFonts w:ascii="Times New Roman" w:hAnsi="Times New Roman" w:cs="Times New Roman"/>
          <w:b/>
          <w:bCs/>
          <w:sz w:val="24"/>
          <w:szCs w:val="24"/>
          <w:lang w:eastAsia="fr-FR"/>
        </w:rPr>
        <w:t xml:space="preserve">PROGRAMME DE PLATEFORME INTEGREE POUR LA SECURITE DE L’EAU AU NIGER (PISEN) - P17441 </w:t>
      </w:r>
    </w:p>
    <w:p w14:paraId="687D9AD1" w14:textId="77777777" w:rsidR="004966DB" w:rsidRPr="00391340" w:rsidRDefault="004966DB" w:rsidP="004966DB">
      <w:pPr>
        <w:spacing w:line="240" w:lineRule="auto"/>
        <w:rPr>
          <w:rFonts w:ascii="Times New Roman" w:hAnsi="Times New Roman" w:cs="Times New Roman"/>
          <w:sz w:val="24"/>
          <w:szCs w:val="24"/>
        </w:rPr>
      </w:pPr>
    </w:p>
    <w:p w14:paraId="35A92ABA" w14:textId="77777777" w:rsidR="004966DB" w:rsidRPr="00391340" w:rsidRDefault="004966DB" w:rsidP="004966DB">
      <w:pPr>
        <w:pStyle w:val="TitreTR"/>
        <w:spacing w:after="120"/>
        <w:jc w:val="right"/>
        <w:rPr>
          <w:rFonts w:ascii="Times New Roman" w:hAnsi="Times New Roman" w:cs="Times New Roman"/>
          <w:color w:val="auto"/>
          <w:sz w:val="24"/>
        </w:rPr>
      </w:pPr>
    </w:p>
    <w:p w14:paraId="35D90381" w14:textId="77777777" w:rsidR="004966DB" w:rsidRPr="00391340" w:rsidRDefault="004966DB" w:rsidP="004966DB">
      <w:pPr>
        <w:pStyle w:val="TitreTR"/>
        <w:spacing w:after="120"/>
        <w:jc w:val="right"/>
        <w:rPr>
          <w:rFonts w:ascii="Times New Roman" w:hAnsi="Times New Roman" w:cs="Times New Roman"/>
          <w:color w:val="auto"/>
          <w:sz w:val="24"/>
        </w:rPr>
      </w:pPr>
    </w:p>
    <w:p w14:paraId="61682ED9" w14:textId="77777777" w:rsidR="004966DB" w:rsidRPr="00391340" w:rsidRDefault="004966DB" w:rsidP="004966DB">
      <w:pPr>
        <w:pStyle w:val="TitreTR"/>
        <w:spacing w:after="120"/>
        <w:jc w:val="right"/>
        <w:rPr>
          <w:rFonts w:ascii="Times New Roman" w:hAnsi="Times New Roman" w:cs="Times New Roman"/>
          <w:color w:val="auto"/>
          <w:sz w:val="24"/>
        </w:rPr>
      </w:pPr>
    </w:p>
    <w:p w14:paraId="74DA2381" w14:textId="77777777" w:rsidR="004966DB" w:rsidRPr="00391340" w:rsidRDefault="004966DB" w:rsidP="004966DB">
      <w:pPr>
        <w:pStyle w:val="TitreTR"/>
        <w:spacing w:after="120"/>
        <w:jc w:val="right"/>
        <w:rPr>
          <w:rFonts w:ascii="Times New Roman" w:hAnsi="Times New Roman" w:cs="Times New Roman"/>
          <w:color w:val="auto"/>
          <w:sz w:val="24"/>
        </w:rPr>
      </w:pPr>
    </w:p>
    <w:p w14:paraId="6F91028C" w14:textId="77777777" w:rsidR="004966DB" w:rsidRPr="00391340" w:rsidRDefault="004966DB" w:rsidP="004966DB">
      <w:pPr>
        <w:pStyle w:val="TitreTR"/>
        <w:spacing w:after="120"/>
        <w:jc w:val="right"/>
        <w:rPr>
          <w:rFonts w:ascii="Times New Roman" w:hAnsi="Times New Roman" w:cs="Times New Roman"/>
          <w:color w:val="auto"/>
          <w:sz w:val="24"/>
        </w:rPr>
      </w:pPr>
    </w:p>
    <w:p w14:paraId="291BAA46" w14:textId="77777777" w:rsidR="004966DB" w:rsidRPr="00391340" w:rsidRDefault="004966DB" w:rsidP="004966DB">
      <w:pPr>
        <w:pStyle w:val="TitreTR"/>
        <w:spacing w:after="120"/>
        <w:jc w:val="right"/>
        <w:rPr>
          <w:rFonts w:ascii="Times New Roman" w:hAnsi="Times New Roman" w:cs="Times New Roman"/>
          <w:color w:val="auto"/>
          <w:sz w:val="24"/>
        </w:rPr>
      </w:pPr>
    </w:p>
    <w:p w14:paraId="25600B2F" w14:textId="77777777" w:rsidR="004966DB" w:rsidRPr="00391340" w:rsidRDefault="004966DB" w:rsidP="004966DB">
      <w:pPr>
        <w:pStyle w:val="TitreTR"/>
        <w:spacing w:after="120"/>
        <w:jc w:val="right"/>
        <w:rPr>
          <w:rFonts w:ascii="Times New Roman" w:hAnsi="Times New Roman" w:cs="Times New Roman"/>
          <w:color w:val="auto"/>
          <w:sz w:val="24"/>
        </w:rPr>
      </w:pPr>
    </w:p>
    <w:p w14:paraId="7099D60D" w14:textId="77777777" w:rsidR="004966DB" w:rsidRPr="00391340" w:rsidRDefault="004966DB" w:rsidP="004966DB">
      <w:pPr>
        <w:pStyle w:val="TitreTR"/>
        <w:spacing w:after="120"/>
        <w:jc w:val="right"/>
        <w:rPr>
          <w:rFonts w:ascii="Times New Roman" w:hAnsi="Times New Roman" w:cs="Times New Roman"/>
          <w:color w:val="auto"/>
          <w:sz w:val="24"/>
        </w:rPr>
      </w:pPr>
    </w:p>
    <w:p w14:paraId="58B5919B" w14:textId="77777777" w:rsidR="004966DB" w:rsidRPr="00391340" w:rsidRDefault="004966DB" w:rsidP="004966DB">
      <w:pPr>
        <w:pStyle w:val="TitreTR"/>
        <w:spacing w:after="120"/>
        <w:jc w:val="right"/>
        <w:rPr>
          <w:rFonts w:ascii="Times New Roman" w:hAnsi="Times New Roman" w:cs="Times New Roman"/>
          <w:color w:val="auto"/>
          <w:sz w:val="24"/>
        </w:rPr>
      </w:pPr>
    </w:p>
    <w:p w14:paraId="489FBBE7" w14:textId="77777777" w:rsidR="004966DB" w:rsidRPr="00391340" w:rsidRDefault="004966DB" w:rsidP="004966DB">
      <w:pPr>
        <w:pStyle w:val="TitreTR"/>
        <w:spacing w:after="120"/>
        <w:jc w:val="right"/>
        <w:rPr>
          <w:rFonts w:ascii="Times New Roman" w:hAnsi="Times New Roman" w:cs="Times New Roman"/>
          <w:color w:val="auto"/>
          <w:sz w:val="24"/>
        </w:rPr>
      </w:pPr>
    </w:p>
    <w:p w14:paraId="32F86988" w14:textId="77777777" w:rsidR="004966DB" w:rsidRPr="00391340" w:rsidRDefault="004966DB" w:rsidP="004966DB">
      <w:pPr>
        <w:pStyle w:val="TitreTR"/>
        <w:spacing w:after="120"/>
        <w:jc w:val="right"/>
        <w:rPr>
          <w:rFonts w:ascii="Times New Roman" w:hAnsi="Times New Roman" w:cs="Times New Roman"/>
          <w:color w:val="auto"/>
          <w:sz w:val="24"/>
        </w:rPr>
      </w:pPr>
    </w:p>
    <w:p w14:paraId="7EF54D5C" w14:textId="77777777" w:rsidR="004966DB" w:rsidRPr="00391340" w:rsidRDefault="004966DB" w:rsidP="004966DB">
      <w:pPr>
        <w:pStyle w:val="TitreTR"/>
        <w:spacing w:after="120"/>
        <w:jc w:val="right"/>
        <w:rPr>
          <w:rFonts w:ascii="Times New Roman" w:hAnsi="Times New Roman" w:cs="Times New Roman"/>
          <w:color w:val="auto"/>
          <w:sz w:val="24"/>
        </w:rPr>
      </w:pPr>
    </w:p>
    <w:p w14:paraId="23A5C327" w14:textId="77777777" w:rsidR="004966DB" w:rsidRPr="00391340" w:rsidRDefault="004966DB" w:rsidP="004966DB">
      <w:pPr>
        <w:pStyle w:val="TitreTR"/>
        <w:spacing w:after="120"/>
        <w:jc w:val="right"/>
        <w:rPr>
          <w:rFonts w:ascii="Times New Roman" w:hAnsi="Times New Roman" w:cs="Times New Roman"/>
          <w:color w:val="auto"/>
          <w:sz w:val="24"/>
        </w:rPr>
      </w:pPr>
    </w:p>
    <w:p w14:paraId="293C650B" w14:textId="77777777" w:rsidR="004966DB" w:rsidRPr="00391340" w:rsidRDefault="004966DB" w:rsidP="004966DB">
      <w:pPr>
        <w:pStyle w:val="TitreTR"/>
        <w:spacing w:after="120"/>
        <w:jc w:val="right"/>
        <w:rPr>
          <w:rFonts w:ascii="Times New Roman" w:hAnsi="Times New Roman" w:cs="Times New Roman"/>
          <w:color w:val="auto"/>
          <w:sz w:val="24"/>
        </w:rPr>
      </w:pPr>
    </w:p>
    <w:p w14:paraId="0CFD217A" w14:textId="77777777" w:rsidR="004966DB" w:rsidRPr="00391340" w:rsidRDefault="004966DB" w:rsidP="004966DB">
      <w:pPr>
        <w:pStyle w:val="TitreTR"/>
        <w:spacing w:after="120"/>
        <w:jc w:val="right"/>
        <w:rPr>
          <w:rFonts w:ascii="Times New Roman" w:hAnsi="Times New Roman" w:cs="Times New Roman"/>
          <w:color w:val="auto"/>
          <w:sz w:val="24"/>
        </w:rPr>
      </w:pPr>
    </w:p>
    <w:p w14:paraId="65FA0DED" w14:textId="77777777" w:rsidR="004966DB" w:rsidRPr="00391340" w:rsidRDefault="004966DB" w:rsidP="004966DB">
      <w:pPr>
        <w:pStyle w:val="TitreTR"/>
        <w:spacing w:after="120"/>
        <w:jc w:val="right"/>
        <w:rPr>
          <w:rFonts w:ascii="Times New Roman" w:hAnsi="Times New Roman" w:cs="Times New Roman"/>
          <w:color w:val="auto"/>
          <w:sz w:val="24"/>
        </w:rPr>
      </w:pPr>
    </w:p>
    <w:p w14:paraId="44F51750" w14:textId="77777777" w:rsidR="004966DB" w:rsidRPr="00391340" w:rsidRDefault="004966DB" w:rsidP="004966DB">
      <w:pPr>
        <w:pStyle w:val="TitreTR"/>
        <w:spacing w:after="120"/>
        <w:jc w:val="right"/>
        <w:rPr>
          <w:rFonts w:ascii="Times New Roman" w:hAnsi="Times New Roman" w:cs="Times New Roman"/>
          <w:color w:val="auto"/>
          <w:sz w:val="24"/>
        </w:rPr>
      </w:pPr>
    </w:p>
    <w:p w14:paraId="098C2637" w14:textId="77777777" w:rsidR="004966DB" w:rsidRPr="00391340" w:rsidRDefault="004966DB" w:rsidP="004966DB">
      <w:pPr>
        <w:pStyle w:val="TitreTR"/>
        <w:spacing w:after="120"/>
        <w:jc w:val="right"/>
        <w:rPr>
          <w:rFonts w:ascii="Times New Roman" w:hAnsi="Times New Roman" w:cs="Times New Roman"/>
          <w:color w:val="auto"/>
          <w:sz w:val="24"/>
        </w:rPr>
      </w:pPr>
      <w:r w:rsidRPr="00391340">
        <w:rPr>
          <w:rFonts w:ascii="Times New Roman" w:hAnsi="Times New Roman" w:cs="Times New Roman"/>
          <w:color w:val="auto"/>
          <w:sz w:val="24"/>
        </w:rPr>
        <w:t>Avril 2022</w:t>
      </w:r>
    </w:p>
    <w:p w14:paraId="60A2D0C3" w14:textId="77777777" w:rsidR="004966DB" w:rsidRPr="00391340" w:rsidRDefault="004966DB" w:rsidP="004966DB">
      <w:pPr>
        <w:rPr>
          <w:rFonts w:ascii="Times New Roman" w:hAnsi="Times New Roman" w:cs="Times New Roman"/>
          <w:sz w:val="24"/>
          <w:szCs w:val="24"/>
        </w:rPr>
      </w:pPr>
    </w:p>
    <w:p w14:paraId="612FBF4D" w14:textId="77777777" w:rsidR="004966DB" w:rsidRPr="00391340" w:rsidRDefault="004966DB" w:rsidP="004966DB">
      <w:pPr>
        <w:rPr>
          <w:rFonts w:ascii="Times New Roman" w:eastAsiaTheme="majorEastAsia" w:hAnsi="Times New Roman" w:cs="Times New Roman"/>
          <w:sz w:val="24"/>
          <w:szCs w:val="24"/>
          <w:lang w:eastAsia="fr-FR"/>
        </w:rPr>
      </w:pPr>
      <w:r w:rsidRPr="00391340">
        <w:rPr>
          <w:rFonts w:ascii="Times New Roman" w:hAnsi="Times New Roman" w:cs="Times New Roman"/>
          <w:sz w:val="24"/>
          <w:szCs w:val="24"/>
        </w:rPr>
        <w:br w:type="page"/>
      </w:r>
    </w:p>
    <w:bookmarkEnd w:id="0"/>
    <w:p w14:paraId="7FCACD7A" w14:textId="77777777" w:rsidR="004966DB" w:rsidRPr="0057437B" w:rsidRDefault="004966DB" w:rsidP="00F144C8">
      <w:pPr>
        <w:pStyle w:val="Titre1"/>
        <w:shd w:val="clear" w:color="auto" w:fill="FFC000"/>
        <w:tabs>
          <w:tab w:val="left" w:pos="2190"/>
        </w:tabs>
        <w:spacing w:before="0" w:after="240" w:line="276" w:lineRule="auto"/>
        <w:rPr>
          <w:rFonts w:ascii="Times New Roman" w:hAnsi="Times New Roman" w:cs="Times New Roman"/>
          <w:b/>
          <w:color w:val="FFFFFF"/>
          <w:sz w:val="24"/>
          <w:szCs w:val="24"/>
        </w:rPr>
      </w:pPr>
      <w:r w:rsidRPr="0057437B">
        <w:rPr>
          <w:rFonts w:ascii="Times New Roman" w:hAnsi="Times New Roman" w:cs="Times New Roman"/>
          <w:b/>
          <w:color w:val="FFFFFF"/>
          <w:sz w:val="24"/>
          <w:szCs w:val="24"/>
        </w:rPr>
        <w:lastRenderedPageBreak/>
        <w:t>Résumé</w:t>
      </w:r>
      <w:r w:rsidR="00F144C8" w:rsidRPr="0057437B">
        <w:rPr>
          <w:rFonts w:ascii="Times New Roman" w:hAnsi="Times New Roman" w:cs="Times New Roman"/>
          <w:b/>
          <w:color w:val="FFFFFF"/>
          <w:sz w:val="24"/>
          <w:szCs w:val="24"/>
        </w:rPr>
        <w:tab/>
      </w:r>
    </w:p>
    <w:p w14:paraId="2239BFBA" w14:textId="77777777" w:rsidR="002D232D" w:rsidRPr="00391340" w:rsidRDefault="002D232D" w:rsidP="002D232D">
      <w:pPr>
        <w:spacing w:after="120" w:line="240" w:lineRule="auto"/>
        <w:ind w:left="851"/>
        <w:jc w:val="both"/>
        <w:rPr>
          <w:rFonts w:ascii="Times New Roman" w:hAnsi="Times New Roman" w:cs="Times New Roman"/>
          <w:sz w:val="24"/>
          <w:szCs w:val="24"/>
        </w:rPr>
      </w:pPr>
      <w:r w:rsidRPr="00391340">
        <w:rPr>
          <w:rFonts w:ascii="Times New Roman" w:hAnsi="Times New Roman" w:cs="Times New Roman"/>
          <w:sz w:val="24"/>
          <w:szCs w:val="24"/>
        </w:rPr>
        <w:t>Dans le cadre de l’amélioration des conditions de vie de ses populations, le Gouvernement du Niger a reçu un appui de la Banque mondiale en vue d’accroître la résilience du pays face à la variabilité climatique et jeter les bases d’un développement socio-économique durable à travers une approche systémique d'interventions dans le secteur de l'eau. Pour cela, il est envisagé la mise en œuvre du Projet de Plateforme Intégrée pour la Sécurité de l’eau au Niger – (PISEN) » en vue de remédier aux problèmes liés à la protection, à la gestion et à la connaissance des ressources en eau et des environnements naturels associés afin de contribuer à la gestion intégrée de l'eau et un accès durable à la ressource pour tous les Nigériens.</w:t>
      </w:r>
    </w:p>
    <w:p w14:paraId="1C7D0688" w14:textId="77777777" w:rsidR="002D232D" w:rsidRPr="00391340" w:rsidRDefault="002D232D" w:rsidP="002D232D">
      <w:pPr>
        <w:spacing w:after="120" w:line="240" w:lineRule="auto"/>
        <w:ind w:left="851"/>
        <w:jc w:val="both"/>
        <w:rPr>
          <w:rFonts w:ascii="Times New Roman" w:hAnsi="Times New Roman" w:cs="Times New Roman"/>
          <w:sz w:val="24"/>
          <w:szCs w:val="24"/>
        </w:rPr>
      </w:pPr>
      <w:r w:rsidRPr="00391340">
        <w:rPr>
          <w:rFonts w:ascii="Times New Roman" w:hAnsi="Times New Roman" w:cs="Times New Roman"/>
          <w:sz w:val="24"/>
          <w:szCs w:val="24"/>
        </w:rPr>
        <w:t xml:space="preserve">Pour rendre le financement éligible, la préparation du PISEN a tenu compte des procédures de la Banque mondiale en matière de sauvegarde notamment les NES N° 1 et NES N°4 qui exigent que les emprunteurs évaluent et gèrent les risques et impacts sociaux potentiels découlant des opérations financées par celle-ci, </w:t>
      </w:r>
      <w:r w:rsidRPr="00391340">
        <w:rPr>
          <w:rFonts w:ascii="Times New Roman" w:hAnsi="Times New Roman" w:cs="Times New Roman"/>
          <w:b/>
          <w:bCs/>
          <w:sz w:val="24"/>
          <w:szCs w:val="24"/>
        </w:rPr>
        <w:t>y compris les menaces contre la sécurité humaine, les conflits intercommunautaires ou interétatiques, ainsi que la criminalité ou la violence générale</w:t>
      </w:r>
      <w:r w:rsidRPr="00391340">
        <w:rPr>
          <w:rFonts w:ascii="Times New Roman" w:hAnsi="Times New Roman" w:cs="Times New Roman"/>
          <w:sz w:val="24"/>
          <w:szCs w:val="24"/>
        </w:rPr>
        <w:t xml:space="preserve">. </w:t>
      </w:r>
    </w:p>
    <w:p w14:paraId="03705F95" w14:textId="77777777" w:rsidR="002D232D" w:rsidRPr="00391340" w:rsidRDefault="002D232D" w:rsidP="002D232D">
      <w:pPr>
        <w:spacing w:after="120" w:line="240" w:lineRule="auto"/>
        <w:ind w:left="851"/>
        <w:rPr>
          <w:rFonts w:ascii="Times New Roman" w:hAnsi="Times New Roman" w:cs="Times New Roman"/>
          <w:sz w:val="24"/>
          <w:szCs w:val="24"/>
        </w:rPr>
      </w:pPr>
      <w:r w:rsidRPr="00391340">
        <w:rPr>
          <w:rFonts w:ascii="Times New Roman" w:hAnsi="Times New Roman" w:cs="Times New Roman"/>
          <w:sz w:val="24"/>
          <w:szCs w:val="24"/>
        </w:rPr>
        <w:t xml:space="preserve">En ce sens, prenant en considération le climat actuel sécuritaire de la sous-région sahélienne où le Niger partage ses frontières à l’Est avec le Tchad, tout le long du Sud avec le Nigéria et à l’Ouest avec la zone des trois frontières (Mali, Burkina Faso ), le Niger a préparé une </w:t>
      </w:r>
      <w:r w:rsidRPr="00391340">
        <w:rPr>
          <w:rFonts w:ascii="Times New Roman" w:hAnsi="Times New Roman" w:cs="Times New Roman"/>
          <w:b/>
          <w:bCs/>
          <w:sz w:val="24"/>
          <w:szCs w:val="24"/>
        </w:rPr>
        <w:t>Évaluation des Risques de Sécurité (ERS)</w:t>
      </w:r>
      <w:r w:rsidRPr="00391340">
        <w:rPr>
          <w:rFonts w:ascii="Times New Roman" w:hAnsi="Times New Roman" w:cs="Times New Roman"/>
          <w:sz w:val="24"/>
          <w:szCs w:val="24"/>
        </w:rPr>
        <w:t xml:space="preserve"> qui a identifié les risques et menaces par commune d’intervention.</w:t>
      </w:r>
    </w:p>
    <w:p w14:paraId="090F983F" w14:textId="77777777" w:rsidR="002D232D" w:rsidRPr="00391340" w:rsidRDefault="002D232D" w:rsidP="002D232D">
      <w:pPr>
        <w:spacing w:after="120" w:line="240" w:lineRule="auto"/>
        <w:ind w:left="851"/>
        <w:rPr>
          <w:rFonts w:ascii="Times New Roman" w:hAnsi="Times New Roman" w:cs="Times New Roman"/>
          <w:sz w:val="24"/>
          <w:szCs w:val="24"/>
        </w:rPr>
      </w:pPr>
      <w:r w:rsidRPr="00391340">
        <w:rPr>
          <w:rFonts w:ascii="Times New Roman" w:hAnsi="Times New Roman" w:cs="Times New Roman"/>
          <w:sz w:val="24"/>
          <w:szCs w:val="24"/>
        </w:rPr>
        <w:t xml:space="preserve">A la suite de l’ERS, </w:t>
      </w:r>
      <w:r w:rsidR="00E819BB">
        <w:rPr>
          <w:rFonts w:ascii="Times New Roman" w:hAnsi="Times New Roman" w:cs="Times New Roman"/>
          <w:sz w:val="24"/>
          <w:szCs w:val="24"/>
        </w:rPr>
        <w:t xml:space="preserve">un </w:t>
      </w:r>
      <w:r w:rsidRPr="00391340">
        <w:rPr>
          <w:rFonts w:ascii="Times New Roman" w:hAnsi="Times New Roman" w:cs="Times New Roman"/>
          <w:b/>
          <w:bCs/>
          <w:sz w:val="24"/>
          <w:szCs w:val="24"/>
        </w:rPr>
        <w:t>Plan de Gestion de la Sécurité (PGS)</w:t>
      </w:r>
      <w:r w:rsidR="00C6325F">
        <w:rPr>
          <w:rFonts w:ascii="Times New Roman" w:hAnsi="Times New Roman" w:cs="Times New Roman"/>
          <w:b/>
          <w:bCs/>
          <w:sz w:val="24"/>
          <w:szCs w:val="24"/>
        </w:rPr>
        <w:t>,</w:t>
      </w:r>
      <w:r w:rsidR="004966DB" w:rsidRPr="00391340">
        <w:rPr>
          <w:rFonts w:ascii="Times New Roman" w:hAnsi="Times New Roman" w:cs="Times New Roman"/>
          <w:b/>
          <w:bCs/>
          <w:sz w:val="24"/>
          <w:szCs w:val="24"/>
        </w:rPr>
        <w:t xml:space="preserve"> tout en mettant à jour l’ERS </w:t>
      </w:r>
      <w:r w:rsidRPr="00391340">
        <w:rPr>
          <w:rFonts w:ascii="Times New Roman" w:hAnsi="Times New Roman" w:cs="Times New Roman"/>
          <w:sz w:val="24"/>
          <w:szCs w:val="24"/>
        </w:rPr>
        <w:t xml:space="preserve"> est élaboré pour décrire les procédures claires, y compris celles d’urgence, les acteurs et les ressources requises sur le plan sécuritaire, pour assurer les activités du Projet.</w:t>
      </w:r>
      <w:r w:rsidR="00E819BB">
        <w:rPr>
          <w:rFonts w:ascii="Times New Roman" w:hAnsi="Times New Roman" w:cs="Times New Roman"/>
          <w:sz w:val="24"/>
          <w:szCs w:val="24"/>
        </w:rPr>
        <w:t xml:space="preserve"> </w:t>
      </w:r>
      <w:r w:rsidR="00E819BB" w:rsidRPr="00C6325F">
        <w:rPr>
          <w:rFonts w:ascii="Times New Roman" w:hAnsi="Times New Roman" w:cs="Times New Roman"/>
          <w:sz w:val="24"/>
          <w:szCs w:val="24"/>
        </w:rPr>
        <w:t>Le présent document est un résumé dudit PGS.</w:t>
      </w:r>
    </w:p>
    <w:p w14:paraId="36505672" w14:textId="77777777" w:rsidR="002D232D" w:rsidRPr="00391340" w:rsidRDefault="00946E7A" w:rsidP="002D232D">
      <w:pPr>
        <w:keepNext/>
        <w:keepLines/>
        <w:spacing w:before="240" w:after="0" w:line="240" w:lineRule="auto"/>
        <w:ind w:left="720"/>
        <w:outlineLvl w:val="0"/>
        <w:rPr>
          <w:rFonts w:ascii="Times New Roman" w:eastAsiaTheme="majorEastAsia" w:hAnsi="Times New Roman" w:cs="Times New Roman"/>
          <w:b/>
          <w:smallCaps/>
          <w:sz w:val="24"/>
          <w:szCs w:val="24"/>
        </w:rPr>
      </w:pPr>
      <w:bookmarkStart w:id="2" w:name="_Toc100399096"/>
      <w:r>
        <w:rPr>
          <w:rFonts w:ascii="Times New Roman" w:eastAsiaTheme="majorEastAsia" w:hAnsi="Times New Roman" w:cs="Times New Roman"/>
          <w:b/>
          <w:smallCaps/>
          <w:sz w:val="24"/>
          <w:szCs w:val="24"/>
        </w:rPr>
        <w:t>1</w:t>
      </w:r>
      <w:r w:rsidR="002D232D" w:rsidRPr="00391340">
        <w:rPr>
          <w:rFonts w:ascii="Times New Roman" w:eastAsiaTheme="majorEastAsia" w:hAnsi="Times New Roman" w:cs="Times New Roman"/>
          <w:b/>
          <w:smallCaps/>
          <w:sz w:val="24"/>
          <w:szCs w:val="24"/>
        </w:rPr>
        <w:t>. Brève Présentation du projet</w:t>
      </w:r>
      <w:bookmarkEnd w:id="2"/>
    </w:p>
    <w:p w14:paraId="431117AD" w14:textId="77777777" w:rsidR="002D232D" w:rsidRPr="00391340" w:rsidRDefault="002D232D" w:rsidP="002D232D">
      <w:pPr>
        <w:spacing w:after="120" w:line="240" w:lineRule="auto"/>
        <w:ind w:left="709"/>
        <w:jc w:val="both"/>
        <w:rPr>
          <w:rFonts w:ascii="Times New Roman" w:hAnsi="Times New Roman" w:cs="Times New Roman"/>
          <w:sz w:val="24"/>
          <w:szCs w:val="24"/>
        </w:rPr>
      </w:pPr>
    </w:p>
    <w:p w14:paraId="01C60D89" w14:textId="77777777" w:rsidR="002D232D" w:rsidRPr="00391340" w:rsidRDefault="002D232D" w:rsidP="002D232D">
      <w:pPr>
        <w:keepNext/>
        <w:keepLines/>
        <w:numPr>
          <w:ilvl w:val="1"/>
          <w:numId w:val="2"/>
        </w:numPr>
        <w:spacing w:after="120" w:line="276" w:lineRule="auto"/>
        <w:ind w:left="788" w:hanging="431"/>
        <w:jc w:val="both"/>
        <w:outlineLvl w:val="0"/>
        <w:rPr>
          <w:rFonts w:ascii="Times New Roman" w:eastAsiaTheme="majorEastAsia" w:hAnsi="Times New Roman" w:cs="Times New Roman"/>
          <w:b/>
          <w:sz w:val="24"/>
          <w:szCs w:val="24"/>
        </w:rPr>
      </w:pPr>
      <w:bookmarkStart w:id="3" w:name="_Toc100399097"/>
      <w:r w:rsidRPr="00391340">
        <w:rPr>
          <w:rFonts w:ascii="Times New Roman" w:eastAsiaTheme="majorEastAsia" w:hAnsi="Times New Roman" w:cs="Times New Roman"/>
          <w:b/>
          <w:sz w:val="24"/>
          <w:szCs w:val="24"/>
        </w:rPr>
        <w:t>Objectifs du PISEN</w:t>
      </w:r>
      <w:bookmarkEnd w:id="3"/>
    </w:p>
    <w:p w14:paraId="2601F166" w14:textId="77777777" w:rsidR="002D232D" w:rsidRPr="00391340" w:rsidRDefault="002D232D" w:rsidP="002D232D">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Les objectifs de développement du </w:t>
      </w:r>
      <w:r w:rsidRPr="00C6325F">
        <w:rPr>
          <w:rFonts w:ascii="Times New Roman" w:hAnsi="Times New Roman" w:cs="Times New Roman"/>
          <w:sz w:val="24"/>
          <w:szCs w:val="24"/>
        </w:rPr>
        <w:t xml:space="preserve">programme </w:t>
      </w:r>
      <w:r w:rsidR="00E819BB" w:rsidRPr="00C6325F">
        <w:rPr>
          <w:rFonts w:ascii="Times New Roman" w:hAnsi="Times New Roman" w:cs="Times New Roman"/>
          <w:sz w:val="24"/>
          <w:szCs w:val="24"/>
        </w:rPr>
        <w:t>PISEN</w:t>
      </w:r>
      <w:r w:rsidR="00E819BB">
        <w:rPr>
          <w:rFonts w:ascii="Times New Roman" w:hAnsi="Times New Roman" w:cs="Times New Roman"/>
          <w:sz w:val="24"/>
          <w:szCs w:val="24"/>
        </w:rPr>
        <w:t xml:space="preserve"> </w:t>
      </w:r>
      <w:r w:rsidRPr="00391340">
        <w:rPr>
          <w:rFonts w:ascii="Times New Roman" w:hAnsi="Times New Roman" w:cs="Times New Roman"/>
          <w:sz w:val="24"/>
          <w:szCs w:val="24"/>
        </w:rPr>
        <w:t xml:space="preserve">sont de renforcer la gestion des ressources en eau, de soutenir un accès accru aux services d'eau et d'améliorer la résilience des moyens de subsistance à la variabilité climatique dans certaines régions du Niger. </w:t>
      </w:r>
    </w:p>
    <w:p w14:paraId="3396AB7A" w14:textId="77777777" w:rsidR="002D232D" w:rsidRPr="00391340" w:rsidRDefault="002D232D" w:rsidP="002D232D">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De façon spécifique, le programme vise à (i) améliorer la connaissance des ressources en eau et la capacité de gestion au moins dans la zone du programme ; (ii) mobiliser les ressources en eau et promouvoir leur utilisation durable dans divers secteurs, notamment pour la consommation, l'irrigation, l'élevage et la pisciculture ; (iii) restaurer certains paysages de bassins versants dans la zone du programme afin d'améliorer la résilience des moyens de subsistance agricoles et ruraux et de restaurer les fonctions des écosystèmes dans la conservation des terres et de l'eau ; (iv) améliorer les revenus des ménages et la sécurité alimentaire en développant la collecte des eaux de pluie, la gestion de l'humidité des sols, la petite irrigation en vue d’améliorer la productivité agricole et la pisciculture lorsque cela est possible ; et (v) améliorer l'accès à l'eau potable et aux services d'assainissement.</w:t>
      </w:r>
    </w:p>
    <w:p w14:paraId="363D347F" w14:textId="77777777" w:rsidR="002D232D" w:rsidRPr="00391340" w:rsidRDefault="002D232D" w:rsidP="002D232D">
      <w:pPr>
        <w:spacing w:after="0" w:line="276" w:lineRule="auto"/>
        <w:jc w:val="both"/>
        <w:rPr>
          <w:rFonts w:ascii="Times New Roman" w:hAnsi="Times New Roman" w:cs="Times New Roman"/>
          <w:sz w:val="24"/>
          <w:szCs w:val="24"/>
        </w:rPr>
      </w:pPr>
    </w:p>
    <w:p w14:paraId="6513C96C" w14:textId="77777777" w:rsidR="002D232D" w:rsidRPr="00391340" w:rsidRDefault="002D232D" w:rsidP="002D232D">
      <w:pPr>
        <w:keepNext/>
        <w:keepLines/>
        <w:numPr>
          <w:ilvl w:val="1"/>
          <w:numId w:val="2"/>
        </w:numPr>
        <w:spacing w:after="120" w:line="276" w:lineRule="auto"/>
        <w:ind w:left="788" w:hanging="431"/>
        <w:jc w:val="both"/>
        <w:outlineLvl w:val="0"/>
        <w:rPr>
          <w:rFonts w:ascii="Times New Roman" w:eastAsiaTheme="majorEastAsia" w:hAnsi="Times New Roman" w:cs="Times New Roman"/>
          <w:b/>
          <w:sz w:val="24"/>
          <w:szCs w:val="24"/>
        </w:rPr>
      </w:pPr>
      <w:bookmarkStart w:id="4" w:name="_Toc399173483"/>
      <w:bookmarkStart w:id="5" w:name="_Toc53905998"/>
      <w:bookmarkStart w:id="6" w:name="_Toc54099299"/>
      <w:bookmarkStart w:id="7" w:name="_Toc60054006"/>
      <w:bookmarkStart w:id="8" w:name="_Toc61677848"/>
      <w:bookmarkStart w:id="9" w:name="_Toc73047658"/>
      <w:bookmarkStart w:id="10" w:name="_Toc100399099"/>
      <w:r w:rsidRPr="00391340">
        <w:rPr>
          <w:rFonts w:ascii="Times New Roman" w:eastAsiaTheme="majorEastAsia" w:hAnsi="Times New Roman" w:cs="Times New Roman"/>
          <w:b/>
          <w:sz w:val="24"/>
          <w:szCs w:val="24"/>
        </w:rPr>
        <w:lastRenderedPageBreak/>
        <w:t xml:space="preserve">Composantes et activités du </w:t>
      </w:r>
      <w:bookmarkEnd w:id="4"/>
      <w:bookmarkEnd w:id="5"/>
      <w:bookmarkEnd w:id="6"/>
      <w:bookmarkEnd w:id="7"/>
      <w:bookmarkEnd w:id="8"/>
      <w:r w:rsidRPr="00391340">
        <w:rPr>
          <w:rFonts w:ascii="Times New Roman" w:eastAsiaTheme="majorEastAsia" w:hAnsi="Times New Roman" w:cs="Times New Roman"/>
          <w:b/>
          <w:sz w:val="24"/>
          <w:szCs w:val="24"/>
        </w:rPr>
        <w:t>programme</w:t>
      </w:r>
      <w:bookmarkEnd w:id="9"/>
      <w:bookmarkEnd w:id="10"/>
      <w:r w:rsidRPr="00391340">
        <w:rPr>
          <w:rFonts w:ascii="Times New Roman" w:eastAsiaTheme="majorEastAsia" w:hAnsi="Times New Roman" w:cs="Times New Roman"/>
          <w:b/>
          <w:sz w:val="24"/>
          <w:szCs w:val="24"/>
        </w:rPr>
        <w:t xml:space="preserve"> </w:t>
      </w:r>
    </w:p>
    <w:p w14:paraId="4323138B" w14:textId="77777777" w:rsidR="002D232D" w:rsidRPr="00391340" w:rsidRDefault="002D232D" w:rsidP="002D232D">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Le projet est bâti autour de quatre composantes à savoir :</w:t>
      </w:r>
    </w:p>
    <w:p w14:paraId="33B19722" w14:textId="77777777" w:rsidR="002D232D" w:rsidRPr="00391340" w:rsidRDefault="002D232D" w:rsidP="002D232D">
      <w:pPr>
        <w:numPr>
          <w:ilvl w:val="0"/>
          <w:numId w:val="3"/>
        </w:numPr>
        <w:spacing w:after="120" w:line="240" w:lineRule="auto"/>
        <w:contextualSpacing/>
        <w:jc w:val="both"/>
        <w:rPr>
          <w:rFonts w:ascii="Times New Roman" w:hAnsi="Times New Roman" w:cs="Times New Roman"/>
          <w:b/>
          <w:bCs/>
          <w:sz w:val="24"/>
          <w:szCs w:val="24"/>
        </w:rPr>
      </w:pPr>
      <w:bookmarkStart w:id="11" w:name="_Toc73047659"/>
      <w:r w:rsidRPr="00391340">
        <w:rPr>
          <w:rFonts w:ascii="Times New Roman" w:hAnsi="Times New Roman" w:cs="Times New Roman"/>
          <w:b/>
          <w:bCs/>
          <w:sz w:val="24"/>
          <w:szCs w:val="24"/>
        </w:rPr>
        <w:t>Composante 1 : Investissements intégrés pour la sécurité de l’eau</w:t>
      </w:r>
      <w:bookmarkEnd w:id="11"/>
      <w:r w:rsidRPr="00391340">
        <w:rPr>
          <w:rFonts w:ascii="Times New Roman" w:hAnsi="Times New Roman" w:cs="Times New Roman"/>
          <w:b/>
          <w:bCs/>
          <w:sz w:val="24"/>
          <w:szCs w:val="24"/>
        </w:rPr>
        <w:t xml:space="preserve"> </w:t>
      </w:r>
    </w:p>
    <w:p w14:paraId="3EFFD2D0" w14:textId="77777777" w:rsidR="002D232D" w:rsidRPr="00391340" w:rsidRDefault="002D232D" w:rsidP="004966DB">
      <w:pPr>
        <w:numPr>
          <w:ilvl w:val="0"/>
          <w:numId w:val="3"/>
        </w:numPr>
        <w:spacing w:after="120" w:line="240" w:lineRule="auto"/>
        <w:contextualSpacing/>
        <w:jc w:val="both"/>
        <w:rPr>
          <w:rFonts w:ascii="Times New Roman" w:hAnsi="Times New Roman" w:cs="Times New Roman"/>
          <w:b/>
          <w:bCs/>
          <w:sz w:val="24"/>
          <w:szCs w:val="24"/>
        </w:rPr>
      </w:pPr>
      <w:bookmarkStart w:id="12" w:name="_Toc68269579"/>
      <w:bookmarkStart w:id="13" w:name="_Toc71657549"/>
      <w:bookmarkStart w:id="14" w:name="_Toc73047660"/>
      <w:r w:rsidRPr="00391340">
        <w:rPr>
          <w:rFonts w:ascii="Times New Roman" w:hAnsi="Times New Roman" w:cs="Times New Roman"/>
          <w:b/>
          <w:bCs/>
          <w:sz w:val="24"/>
          <w:szCs w:val="24"/>
        </w:rPr>
        <w:t xml:space="preserve">Composante 2 : </w:t>
      </w:r>
      <w:bookmarkEnd w:id="12"/>
      <w:bookmarkEnd w:id="13"/>
      <w:r w:rsidRPr="00391340">
        <w:rPr>
          <w:rFonts w:ascii="Times New Roman" w:hAnsi="Times New Roman" w:cs="Times New Roman"/>
          <w:b/>
          <w:bCs/>
          <w:sz w:val="24"/>
          <w:szCs w:val="24"/>
        </w:rPr>
        <w:t>Expansion des services intégrés de l’eau</w:t>
      </w:r>
      <w:bookmarkEnd w:id="14"/>
    </w:p>
    <w:p w14:paraId="774738C5" w14:textId="77777777" w:rsidR="002D232D" w:rsidRPr="00391340" w:rsidRDefault="002D232D" w:rsidP="002D232D">
      <w:pPr>
        <w:numPr>
          <w:ilvl w:val="0"/>
          <w:numId w:val="3"/>
        </w:numPr>
        <w:spacing w:after="120" w:line="240" w:lineRule="auto"/>
        <w:contextualSpacing/>
        <w:jc w:val="both"/>
        <w:rPr>
          <w:rFonts w:ascii="Times New Roman" w:hAnsi="Times New Roman" w:cs="Times New Roman"/>
          <w:b/>
          <w:bCs/>
          <w:sz w:val="24"/>
          <w:szCs w:val="24"/>
        </w:rPr>
      </w:pPr>
      <w:bookmarkStart w:id="15" w:name="_Toc68269580"/>
      <w:bookmarkStart w:id="16" w:name="_Toc71657550"/>
      <w:bookmarkStart w:id="17" w:name="_Toc73047661"/>
      <w:r w:rsidRPr="00391340">
        <w:rPr>
          <w:rFonts w:ascii="Times New Roman" w:hAnsi="Times New Roman" w:cs="Times New Roman"/>
          <w:b/>
          <w:bCs/>
          <w:sz w:val="24"/>
          <w:szCs w:val="24"/>
        </w:rPr>
        <w:t>Composante 3 : Gestion de programme et Renforcement de capacités</w:t>
      </w:r>
      <w:bookmarkEnd w:id="15"/>
      <w:bookmarkEnd w:id="16"/>
      <w:bookmarkEnd w:id="17"/>
      <w:r w:rsidRPr="00391340">
        <w:rPr>
          <w:rFonts w:ascii="Times New Roman" w:hAnsi="Times New Roman" w:cs="Times New Roman"/>
          <w:b/>
          <w:bCs/>
          <w:sz w:val="24"/>
          <w:szCs w:val="24"/>
        </w:rPr>
        <w:t xml:space="preserve">  </w:t>
      </w:r>
    </w:p>
    <w:p w14:paraId="0259DB26" w14:textId="77777777" w:rsidR="002D232D" w:rsidRPr="00391340" w:rsidRDefault="002D232D" w:rsidP="002D232D">
      <w:pPr>
        <w:numPr>
          <w:ilvl w:val="0"/>
          <w:numId w:val="3"/>
        </w:numPr>
        <w:spacing w:after="120" w:line="240" w:lineRule="auto"/>
        <w:contextualSpacing/>
        <w:jc w:val="both"/>
        <w:rPr>
          <w:rFonts w:ascii="Times New Roman" w:hAnsi="Times New Roman" w:cs="Times New Roman"/>
          <w:b/>
          <w:bCs/>
          <w:sz w:val="24"/>
          <w:szCs w:val="24"/>
        </w:rPr>
      </w:pPr>
      <w:bookmarkStart w:id="18" w:name="_Toc68269581"/>
      <w:bookmarkStart w:id="19" w:name="_Toc71657551"/>
      <w:bookmarkStart w:id="20" w:name="_Toc73047662"/>
      <w:r w:rsidRPr="00391340">
        <w:rPr>
          <w:rFonts w:ascii="Times New Roman" w:hAnsi="Times New Roman" w:cs="Times New Roman"/>
          <w:b/>
          <w:bCs/>
          <w:sz w:val="24"/>
          <w:szCs w:val="24"/>
        </w:rPr>
        <w:t>Composante 4 : Composante d’interventions d’urgence</w:t>
      </w:r>
      <w:bookmarkEnd w:id="18"/>
      <w:bookmarkEnd w:id="19"/>
      <w:bookmarkEnd w:id="20"/>
      <w:r w:rsidRPr="00391340">
        <w:rPr>
          <w:rFonts w:ascii="Times New Roman" w:hAnsi="Times New Roman" w:cs="Times New Roman"/>
          <w:b/>
          <w:bCs/>
          <w:sz w:val="24"/>
          <w:szCs w:val="24"/>
        </w:rPr>
        <w:t xml:space="preserve"> </w:t>
      </w:r>
    </w:p>
    <w:p w14:paraId="4C3904C4" w14:textId="77777777" w:rsidR="002D232D" w:rsidRPr="00391340" w:rsidRDefault="002D232D" w:rsidP="002D232D">
      <w:pPr>
        <w:spacing w:after="0" w:line="276" w:lineRule="auto"/>
        <w:jc w:val="both"/>
        <w:rPr>
          <w:rFonts w:ascii="Times New Roman" w:hAnsi="Times New Roman" w:cs="Times New Roman"/>
          <w:sz w:val="24"/>
          <w:szCs w:val="24"/>
        </w:rPr>
      </w:pPr>
    </w:p>
    <w:p w14:paraId="4278A361" w14:textId="77777777" w:rsidR="002D232D" w:rsidRPr="00391340" w:rsidRDefault="002D232D" w:rsidP="002D232D">
      <w:pPr>
        <w:keepNext/>
        <w:keepLines/>
        <w:numPr>
          <w:ilvl w:val="1"/>
          <w:numId w:val="2"/>
        </w:numPr>
        <w:spacing w:after="120" w:line="276" w:lineRule="auto"/>
        <w:ind w:left="788" w:hanging="431"/>
        <w:jc w:val="both"/>
        <w:outlineLvl w:val="0"/>
        <w:rPr>
          <w:rFonts w:ascii="Times New Roman" w:eastAsiaTheme="majorEastAsia" w:hAnsi="Times New Roman" w:cs="Times New Roman"/>
          <w:b/>
          <w:sz w:val="24"/>
          <w:szCs w:val="24"/>
        </w:rPr>
      </w:pPr>
      <w:bookmarkStart w:id="21" w:name="_Toc61677854"/>
      <w:bookmarkStart w:id="22" w:name="_Toc73047663"/>
      <w:bookmarkStart w:id="23" w:name="_Toc100399100"/>
      <w:r w:rsidRPr="00391340">
        <w:rPr>
          <w:rFonts w:ascii="Times New Roman" w:eastAsiaTheme="majorEastAsia" w:hAnsi="Times New Roman" w:cs="Times New Roman"/>
          <w:b/>
          <w:sz w:val="24"/>
          <w:szCs w:val="24"/>
        </w:rPr>
        <w:t xml:space="preserve">Zone d’intervention du </w:t>
      </w:r>
      <w:bookmarkEnd w:id="21"/>
      <w:bookmarkEnd w:id="22"/>
      <w:r w:rsidRPr="00391340">
        <w:rPr>
          <w:rFonts w:ascii="Times New Roman" w:eastAsiaTheme="majorEastAsia" w:hAnsi="Times New Roman" w:cs="Times New Roman"/>
          <w:b/>
          <w:sz w:val="24"/>
          <w:szCs w:val="24"/>
        </w:rPr>
        <w:t>Projet</w:t>
      </w:r>
      <w:bookmarkEnd w:id="23"/>
    </w:p>
    <w:p w14:paraId="2920985B" w14:textId="77777777" w:rsidR="002D232D" w:rsidRPr="00391340" w:rsidRDefault="007251FA" w:rsidP="007251FA">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Le projet a une couverture nationale. Toutefois</w:t>
      </w:r>
      <w:r w:rsidR="00FD2001">
        <w:rPr>
          <w:rFonts w:ascii="Times New Roman" w:hAnsi="Times New Roman" w:cs="Times New Roman"/>
          <w:sz w:val="24"/>
          <w:szCs w:val="24"/>
        </w:rPr>
        <w:t>,</w:t>
      </w:r>
      <w:r>
        <w:rPr>
          <w:rFonts w:ascii="Times New Roman" w:hAnsi="Times New Roman" w:cs="Times New Roman"/>
          <w:sz w:val="24"/>
          <w:szCs w:val="24"/>
        </w:rPr>
        <w:t xml:space="preserve"> l</w:t>
      </w:r>
      <w:r w:rsidR="002D232D" w:rsidRPr="00391340">
        <w:rPr>
          <w:rFonts w:ascii="Times New Roman" w:hAnsi="Times New Roman" w:cs="Times New Roman"/>
          <w:sz w:val="24"/>
          <w:szCs w:val="24"/>
        </w:rPr>
        <w:t xml:space="preserve">a sélection des zones d’intervention du PISEN est basée sur une considération des sous-bassins versants et prend en compte : (i) les caractéristiques des sous-bassins et (ii) le type d’activités d'investissement dans les sous-bassins sélectionnés. </w:t>
      </w:r>
    </w:p>
    <w:p w14:paraId="6281A5E9" w14:textId="77777777" w:rsidR="002D232D" w:rsidRPr="00391340" w:rsidRDefault="002D232D" w:rsidP="002D232D">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Les principaux bénéficiaires du projet seront les populations de la zone cible du programme, et plus particulièrement les femmes et les jeunes.</w:t>
      </w:r>
    </w:p>
    <w:p w14:paraId="22C6C718" w14:textId="77777777" w:rsidR="002D232D" w:rsidRPr="00391340" w:rsidRDefault="002D232D" w:rsidP="002D232D">
      <w:pPr>
        <w:keepNext/>
        <w:keepLines/>
        <w:numPr>
          <w:ilvl w:val="1"/>
          <w:numId w:val="2"/>
        </w:numPr>
        <w:spacing w:after="120" w:line="276" w:lineRule="auto"/>
        <w:ind w:left="788" w:hanging="431"/>
        <w:jc w:val="both"/>
        <w:outlineLvl w:val="0"/>
        <w:rPr>
          <w:rFonts w:ascii="Times New Roman" w:eastAsiaTheme="majorEastAsia" w:hAnsi="Times New Roman" w:cs="Times New Roman"/>
          <w:b/>
          <w:sz w:val="24"/>
          <w:szCs w:val="24"/>
        </w:rPr>
      </w:pPr>
      <w:bookmarkStart w:id="24" w:name="_Toc73047664"/>
      <w:bookmarkStart w:id="25" w:name="_Toc100399101"/>
      <w:r w:rsidRPr="00391340">
        <w:rPr>
          <w:rFonts w:ascii="Times New Roman" w:eastAsiaTheme="majorEastAsia" w:hAnsi="Times New Roman" w:cs="Times New Roman"/>
          <w:b/>
          <w:sz w:val="24"/>
          <w:szCs w:val="24"/>
        </w:rPr>
        <w:t>Dispositif institutionnel de mise en œuvre</w:t>
      </w:r>
      <w:bookmarkEnd w:id="24"/>
      <w:bookmarkEnd w:id="25"/>
      <w:r w:rsidRPr="00391340">
        <w:rPr>
          <w:rFonts w:ascii="Times New Roman" w:eastAsiaTheme="majorEastAsia" w:hAnsi="Times New Roman" w:cs="Times New Roman"/>
          <w:b/>
          <w:sz w:val="24"/>
          <w:szCs w:val="24"/>
        </w:rPr>
        <w:t xml:space="preserve"> </w:t>
      </w:r>
    </w:p>
    <w:p w14:paraId="3ED0A954" w14:textId="77777777" w:rsidR="002D232D" w:rsidRPr="00391340" w:rsidRDefault="002D232D" w:rsidP="002D232D">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Le dispositif institutionnel de mise en œuvre du PISEN comprend :</w:t>
      </w:r>
    </w:p>
    <w:p w14:paraId="65FCCB89" w14:textId="77777777" w:rsidR="004B4D6F" w:rsidRPr="00391340" w:rsidRDefault="002D232D" w:rsidP="002D232D">
      <w:pPr>
        <w:numPr>
          <w:ilvl w:val="0"/>
          <w:numId w:val="3"/>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Un comité de pilotage présidé par le Directeur de Cabinet du premier Ministre, et composé des représentants des principaux acteurs directement concernés par le PISEN.</w:t>
      </w:r>
    </w:p>
    <w:p w14:paraId="2E1946AC" w14:textId="77777777" w:rsidR="004B4D6F" w:rsidRPr="00391340" w:rsidRDefault="002D232D" w:rsidP="002D232D">
      <w:pPr>
        <w:numPr>
          <w:ilvl w:val="0"/>
          <w:numId w:val="3"/>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 Une Unité de Coordination et de gestion du programme (UGP) qui s'occupera de tous les aspects de la mise en œuvre du programme, y compris la gestion financière, la passation des marchés, la gestion des risques environnementaux et sociaux, le suivi et l'évaluation, ainsi que la coordination entre la partie Nigérienne et la Banque mondiale. </w:t>
      </w:r>
    </w:p>
    <w:p w14:paraId="1AB910A6" w14:textId="77777777" w:rsidR="002D232D" w:rsidRPr="00391340" w:rsidRDefault="002D232D" w:rsidP="002D232D">
      <w:pPr>
        <w:numPr>
          <w:ilvl w:val="0"/>
          <w:numId w:val="3"/>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Des équipes techniques et/ou des points focaux qui vont assurer une meilleure visibilité des ministères qu’ils représentent et leur plus grande implication dans la mise en œuvre du programme ;</w:t>
      </w:r>
    </w:p>
    <w:p w14:paraId="48C073D1" w14:textId="77777777" w:rsidR="004B4D6F" w:rsidRPr="00391340" w:rsidRDefault="002D232D" w:rsidP="004B4D6F">
      <w:pPr>
        <w:numPr>
          <w:ilvl w:val="0"/>
          <w:numId w:val="3"/>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Des Antennes régionales de l’UGP (Agadez, Diffa, Dosso, Maradi, Tahoua, Tillabéry et Zinder) pour une meilleure proximité avec les bénéficiaires. </w:t>
      </w:r>
      <w:bookmarkStart w:id="26" w:name="_Toc100399103"/>
    </w:p>
    <w:p w14:paraId="1A27E5A8" w14:textId="77777777" w:rsidR="004B4D6F" w:rsidRPr="00391340" w:rsidRDefault="004B4D6F" w:rsidP="004B4D6F">
      <w:pPr>
        <w:spacing w:after="120" w:line="240" w:lineRule="auto"/>
        <w:ind w:left="1429"/>
        <w:contextualSpacing/>
        <w:jc w:val="both"/>
        <w:rPr>
          <w:rFonts w:ascii="Times New Roman" w:hAnsi="Times New Roman" w:cs="Times New Roman"/>
          <w:sz w:val="24"/>
          <w:szCs w:val="24"/>
        </w:rPr>
      </w:pPr>
    </w:p>
    <w:p w14:paraId="07A21183" w14:textId="77777777" w:rsidR="007879C3" w:rsidRPr="00391340" w:rsidRDefault="00946E7A" w:rsidP="005C244A">
      <w:pPr>
        <w:spacing w:after="120" w:line="240" w:lineRule="auto"/>
        <w:ind w:left="360"/>
        <w:contextualSpacing/>
        <w:rPr>
          <w:rFonts w:ascii="Times New Roman" w:hAnsi="Times New Roman" w:cs="Times New Roman"/>
          <w:b/>
          <w:smallCaps/>
          <w:sz w:val="24"/>
          <w:szCs w:val="24"/>
        </w:rPr>
      </w:pPr>
      <w:r>
        <w:rPr>
          <w:rFonts w:ascii="Times New Roman" w:hAnsi="Times New Roman" w:cs="Times New Roman"/>
          <w:b/>
          <w:smallCaps/>
          <w:sz w:val="24"/>
          <w:szCs w:val="24"/>
        </w:rPr>
        <w:t>2</w:t>
      </w:r>
      <w:r w:rsidR="007879C3" w:rsidRPr="00391340">
        <w:rPr>
          <w:rFonts w:ascii="Times New Roman" w:hAnsi="Times New Roman" w:cs="Times New Roman"/>
          <w:b/>
          <w:smallCaps/>
          <w:sz w:val="24"/>
          <w:szCs w:val="24"/>
        </w:rPr>
        <w:t>. Synthèse de l’Evaluation des Risques de Sécurité</w:t>
      </w:r>
      <w:bookmarkEnd w:id="26"/>
    </w:p>
    <w:p w14:paraId="6F8679E5" w14:textId="77777777" w:rsidR="007879C3" w:rsidRPr="00391340" w:rsidRDefault="007879C3" w:rsidP="007879C3">
      <w:pPr>
        <w:pStyle w:val="Titre2"/>
        <w:ind w:firstLine="709"/>
        <w:jc w:val="both"/>
        <w:rPr>
          <w:rFonts w:ascii="Times New Roman" w:hAnsi="Times New Roman" w:cs="Times New Roman"/>
          <w:b/>
          <w:color w:val="auto"/>
          <w:sz w:val="24"/>
          <w:szCs w:val="24"/>
        </w:rPr>
      </w:pPr>
      <w:bookmarkStart w:id="27" w:name="_Toc100399104"/>
      <w:r w:rsidRPr="00391340">
        <w:rPr>
          <w:rFonts w:ascii="Times New Roman" w:hAnsi="Times New Roman" w:cs="Times New Roman"/>
          <w:b/>
          <w:color w:val="auto"/>
          <w:sz w:val="24"/>
          <w:szCs w:val="24"/>
        </w:rPr>
        <w:t>2.1 Contexte sous-régional</w:t>
      </w:r>
      <w:bookmarkEnd w:id="27"/>
      <w:r w:rsidRPr="00391340">
        <w:rPr>
          <w:rFonts w:ascii="Times New Roman" w:hAnsi="Times New Roman" w:cs="Times New Roman"/>
          <w:b/>
          <w:color w:val="auto"/>
          <w:sz w:val="24"/>
          <w:szCs w:val="24"/>
        </w:rPr>
        <w:t xml:space="preserve"> </w:t>
      </w:r>
    </w:p>
    <w:p w14:paraId="14FF45F2"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Dans la région ouest-africaine sahélienne, la situation sécuritaire a été marquée par la création du Mouvement pour l'Unité et le Jihad en Afrique de l'Ouest (MUJAO) en 2011 très proche du Groupe d'Al-Qaïda au Maghreb Islamique (AQMI)</w:t>
      </w:r>
      <w:r w:rsidR="004B4D6F" w:rsidRPr="00391340">
        <w:rPr>
          <w:rFonts w:ascii="Times New Roman" w:hAnsi="Times New Roman" w:cs="Times New Roman"/>
          <w:sz w:val="24"/>
          <w:szCs w:val="24"/>
        </w:rPr>
        <w:t>, b</w:t>
      </w:r>
      <w:r w:rsidRPr="00391340">
        <w:rPr>
          <w:rFonts w:ascii="Times New Roman" w:hAnsi="Times New Roman" w:cs="Times New Roman"/>
          <w:sz w:val="24"/>
          <w:szCs w:val="24"/>
        </w:rPr>
        <w:t xml:space="preserve">asé à Ménaka au Nord du Mali, proche de la frontière du Niger. Le groupe mène ses premières attaques d’abord au Mali à Gao en 2013, et progressivement au Niger et au Burkina avec son évolution en 2017 en Groupe de Soutien à l’Islam et aux Musulmans (GSIM), très actif au niveau de la région des Trois Frontières (Niger-Mali-Burkina Faso). </w:t>
      </w:r>
    </w:p>
    <w:p w14:paraId="202B2337"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Dans la région Est, l’apparition du Groupe terroriste Boko Haram en 2009 dans le Nord-Nigéria et la région du Lac Tchad, met le Niger dans une situation sécuritaire sans précédent, l’attaque simultanée des villes de Bosso et de Diffa, les 05 et 06 février 2015, ayant engendré le déplacement de plusieurs personnes vers les zones mieux sécurisées. L’économie régionale a été asphyxiée avec l’instauration de l’Etat d’urgence qui a limité les activités socio-économiques (pêche, agriculture, fermeture des marchés ruraux entre </w:t>
      </w:r>
      <w:r w:rsidRPr="00391340">
        <w:rPr>
          <w:rFonts w:ascii="Times New Roman" w:hAnsi="Times New Roman" w:cs="Times New Roman"/>
          <w:sz w:val="24"/>
          <w:szCs w:val="24"/>
        </w:rPr>
        <w:lastRenderedPageBreak/>
        <w:t xml:space="preserve">autres, interdiction de circuler à moto, du coup l’aide humanitaire est le seul moyen de résilience des populations. </w:t>
      </w:r>
    </w:p>
    <w:p w14:paraId="31F2C7B4" w14:textId="77777777" w:rsidR="00CF3D11"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En fin d’année 2021, la situation de relative accalmie est perceptible s’expliquant par l’affaiblissement de la secte Boko Haram du fait de lutte de leadership interne d’une part et la mort de son leader charismatique ABOUBAKAR SHEKAU et de la montée en puissance avec le changement de tactiques des FDS d’autre part. </w:t>
      </w:r>
    </w:p>
    <w:p w14:paraId="49E40C3F"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Dans le Niger centre, notamment les régions de Maradi et de Zinder, la porosité des frontières a favorisé le développement de la criminalité transfrontalière du fait de l’insuffisance d’une présence permanente des Forces de sécurité le long du territoire et surtout l’appartenance des populations aux mêmes communautés ayant une histoire commune. On note néanmoins, la présence de l’opération dénommée « Farouata buchia » qui a fortement affaibli cette criminalité.</w:t>
      </w:r>
    </w:p>
    <w:p w14:paraId="4CB6AE25" w14:textId="77777777" w:rsidR="007879C3" w:rsidRPr="00391340" w:rsidRDefault="007879C3" w:rsidP="007879C3">
      <w:pPr>
        <w:keepNext/>
        <w:keepLines/>
        <w:spacing w:before="40" w:after="0"/>
        <w:ind w:firstLine="709"/>
        <w:jc w:val="both"/>
        <w:outlineLvl w:val="1"/>
        <w:rPr>
          <w:rFonts w:ascii="Times New Roman" w:eastAsiaTheme="majorEastAsia" w:hAnsi="Times New Roman" w:cs="Times New Roman"/>
          <w:b/>
          <w:sz w:val="24"/>
          <w:szCs w:val="24"/>
        </w:rPr>
      </w:pPr>
      <w:bookmarkStart w:id="28" w:name="_Toc100399105"/>
      <w:r w:rsidRPr="00391340">
        <w:rPr>
          <w:rFonts w:ascii="Times New Roman" w:eastAsiaTheme="majorEastAsia" w:hAnsi="Times New Roman" w:cs="Times New Roman"/>
          <w:b/>
          <w:sz w:val="24"/>
          <w:szCs w:val="24"/>
        </w:rPr>
        <w:t>2.2 Contexte national et local</w:t>
      </w:r>
      <w:bookmarkEnd w:id="28"/>
    </w:p>
    <w:p w14:paraId="17439271"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Au plan national, le contexte sécuritaire est donc défini par les deux principaux foyers terroristes situés l’un à l’Ouest du pays dans la zone des trois frontières et l’autre à l’extrême Est, dans la région du Lac Tchad. </w:t>
      </w:r>
    </w:p>
    <w:p w14:paraId="1655BA17"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Au niveau local, la situation sécuritaire dans la zone des trois frontières est marquée au quotidien par des attaques des groupes terroristes (surtout dans les deux autres pays frontaliers) et autres bandits avec plusieurs villages sous le joug de ces menaces.</w:t>
      </w:r>
    </w:p>
    <w:p w14:paraId="71D0D14E"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Les populations civiles, terrorisées ne peuvent plus vaquer à leurs occupations traditionnelles comme la culture des champs en saison agricole, la fréquentation des marchés, la fréquentation des centres de santé, la fréquentation des écoles. </w:t>
      </w:r>
    </w:p>
    <w:p w14:paraId="72FA8C14"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Entre le 21/02/2020 et le 28 janvier 2022, le nombre d’écoles fermées dans la région de Tillabéri est passé de 350 à 672 selon un bilan établi par le bureau OCHA (OCHA, 2022).</w:t>
      </w:r>
    </w:p>
    <w:p w14:paraId="10DCC717" w14:textId="77777777" w:rsidR="007879C3" w:rsidRPr="00391340" w:rsidRDefault="007879C3" w:rsidP="007879C3">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Pour mieux apprécier cette situation, l’évaluation actualisée de la situation des risques de sécurité classant le Niger en trois zones selon le niveau de risque </w:t>
      </w:r>
      <w:r w:rsidRPr="00C6325F">
        <w:rPr>
          <w:rFonts w:ascii="Times New Roman" w:hAnsi="Times New Roman" w:cs="Times New Roman"/>
          <w:sz w:val="24"/>
          <w:szCs w:val="24"/>
        </w:rPr>
        <w:t>a été effectuée</w:t>
      </w:r>
      <w:r w:rsidRPr="00391340">
        <w:rPr>
          <w:rFonts w:ascii="Times New Roman" w:hAnsi="Times New Roman" w:cs="Times New Roman"/>
          <w:sz w:val="24"/>
          <w:szCs w:val="24"/>
        </w:rPr>
        <w:t xml:space="preserve"> au cours de la deuxième semaine du mois de mars 2022 dans la zone d’intervention du PISEN où les échanges avec les principaux acteurs ont permis de mettre à jour les principaux risques de sécurité identifiés qui sont :</w:t>
      </w:r>
    </w:p>
    <w:p w14:paraId="00CE7F85" w14:textId="77777777" w:rsidR="007879C3" w:rsidRPr="00391340" w:rsidRDefault="007879C3" w:rsidP="007879C3">
      <w:pPr>
        <w:numPr>
          <w:ilvl w:val="0"/>
          <w:numId w:val="4"/>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La recrudescence des attaques armées directes vers les FDS et les populations civiles ou indirectes à travers la pose d’engins explosifs improvisés ;</w:t>
      </w:r>
    </w:p>
    <w:p w14:paraId="0CFED3B5" w14:textId="77777777" w:rsidR="007879C3" w:rsidRPr="00391340" w:rsidRDefault="007879C3" w:rsidP="007879C3">
      <w:pPr>
        <w:numPr>
          <w:ilvl w:val="0"/>
          <w:numId w:val="4"/>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Les enlèvements avec demande de rançon pouvant conduire à la mort ;</w:t>
      </w:r>
    </w:p>
    <w:p w14:paraId="270C77AF" w14:textId="77777777" w:rsidR="007879C3" w:rsidRPr="00391340" w:rsidRDefault="007879C3" w:rsidP="007879C3">
      <w:pPr>
        <w:numPr>
          <w:ilvl w:val="0"/>
          <w:numId w:val="4"/>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Les déplacements des populations vers les zones les plus en sécurité ;</w:t>
      </w:r>
    </w:p>
    <w:p w14:paraId="24584B02" w14:textId="77777777" w:rsidR="007879C3" w:rsidRPr="00391340" w:rsidRDefault="007879C3" w:rsidP="007879C3">
      <w:pPr>
        <w:numPr>
          <w:ilvl w:val="0"/>
          <w:numId w:val="4"/>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L’accentuation de la pauvreté et l’insécurité alimentaire ;</w:t>
      </w:r>
    </w:p>
    <w:p w14:paraId="6A424010" w14:textId="77777777" w:rsidR="007879C3" w:rsidRPr="00391340" w:rsidRDefault="007879C3" w:rsidP="007879C3">
      <w:pPr>
        <w:numPr>
          <w:ilvl w:val="0"/>
          <w:numId w:val="4"/>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La fragilisation de la cohésion sociale accentuant le risque de conflits intercommunautaires.</w:t>
      </w:r>
    </w:p>
    <w:p w14:paraId="0AA08E14" w14:textId="77777777" w:rsidR="00A906B9" w:rsidRPr="00391340" w:rsidRDefault="00A906B9" w:rsidP="00A906B9">
      <w:pPr>
        <w:spacing w:after="120" w:line="240" w:lineRule="auto"/>
        <w:ind w:left="1429"/>
        <w:contextualSpacing/>
        <w:jc w:val="both"/>
        <w:rPr>
          <w:rFonts w:ascii="Times New Roman" w:hAnsi="Times New Roman" w:cs="Times New Roman"/>
          <w:sz w:val="24"/>
          <w:szCs w:val="24"/>
        </w:rPr>
      </w:pPr>
    </w:p>
    <w:p w14:paraId="4C775268" w14:textId="77777777" w:rsidR="000317E3" w:rsidRPr="00391340" w:rsidRDefault="007879C3" w:rsidP="007879C3">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Cette évaluation </w:t>
      </w:r>
      <w:r w:rsidR="00432F13" w:rsidRPr="00391340">
        <w:rPr>
          <w:rFonts w:ascii="Times New Roman" w:hAnsi="Times New Roman" w:cs="Times New Roman"/>
          <w:sz w:val="24"/>
          <w:szCs w:val="24"/>
        </w:rPr>
        <w:t>des risques de sécurité  a été réalisée pour toutes les communes de la zone du projet avec une description des effets de cette insécurité sur le projet</w:t>
      </w:r>
      <w:r w:rsidR="008A78AF" w:rsidRPr="00391340">
        <w:rPr>
          <w:rFonts w:ascii="Times New Roman" w:hAnsi="Times New Roman" w:cs="Times New Roman"/>
          <w:sz w:val="24"/>
          <w:szCs w:val="24"/>
        </w:rPr>
        <w:t>.</w:t>
      </w:r>
      <w:r w:rsidR="000317E3" w:rsidRPr="00391340">
        <w:rPr>
          <w:rFonts w:ascii="Times New Roman" w:hAnsi="Times New Roman" w:cs="Times New Roman"/>
          <w:sz w:val="24"/>
          <w:szCs w:val="24"/>
        </w:rPr>
        <w:t xml:space="preserve"> Ces données sont </w:t>
      </w:r>
      <w:r w:rsidR="00CF3D11" w:rsidRPr="00391340">
        <w:rPr>
          <w:rFonts w:ascii="Times New Roman" w:hAnsi="Times New Roman" w:cs="Times New Roman"/>
          <w:sz w:val="24"/>
          <w:szCs w:val="24"/>
        </w:rPr>
        <w:t>résumées</w:t>
      </w:r>
      <w:r w:rsidR="000317E3" w:rsidRPr="00391340">
        <w:rPr>
          <w:rFonts w:ascii="Times New Roman" w:hAnsi="Times New Roman" w:cs="Times New Roman"/>
          <w:sz w:val="24"/>
          <w:szCs w:val="24"/>
        </w:rPr>
        <w:t xml:space="preserve"> dans deux (02) tableaux avec des codes couleurs (rouge, jaune et vert) symbolisant le niveau de risque. </w:t>
      </w:r>
    </w:p>
    <w:p w14:paraId="18A14204" w14:textId="77777777" w:rsidR="000317E3" w:rsidRPr="00391340" w:rsidRDefault="004C4A24" w:rsidP="000317E3">
      <w:pPr>
        <w:tabs>
          <w:tab w:val="left" w:pos="2150"/>
          <w:tab w:val="left" w:pos="6300"/>
        </w:tabs>
        <w:rPr>
          <w:rFonts w:ascii="Times New Roman" w:hAnsi="Times New Roman" w:cs="Times New Roman"/>
          <w:sz w:val="24"/>
          <w:szCs w:val="24"/>
        </w:rPr>
      </w:pPr>
      <w:r w:rsidRPr="00391340">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604A81BE" wp14:editId="25603C3A">
                <wp:simplePos x="0" y="0"/>
                <wp:positionH relativeFrom="column">
                  <wp:posOffset>3253105</wp:posOffset>
                </wp:positionH>
                <wp:positionV relativeFrom="paragraph">
                  <wp:posOffset>-635</wp:posOffset>
                </wp:positionV>
                <wp:extent cx="222250" cy="215900"/>
                <wp:effectExtent l="0" t="0" r="25400" b="12700"/>
                <wp:wrapNone/>
                <wp:docPr id="1" name="Ellipse 1"/>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9D28E" id="Ellipse 1" o:spid="_x0000_s1026" style="position:absolute;margin-left:256.15pt;margin-top:-.05pt;width:17.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" fillcolor="#00b050" strokecolor="#41719c" strokeweight="1pt">
                <v:stroke joinstyle="miter"/>
              </v:oval>
            </w:pict>
          </mc:Fallback>
        </mc:AlternateContent>
      </w:r>
      <w:r w:rsidRPr="00391340">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77F34D9D" wp14:editId="4BF58A5A">
                <wp:simplePos x="0" y="0"/>
                <wp:positionH relativeFrom="column">
                  <wp:posOffset>817880</wp:posOffset>
                </wp:positionH>
                <wp:positionV relativeFrom="paragraph">
                  <wp:posOffset>-635</wp:posOffset>
                </wp:positionV>
                <wp:extent cx="222250" cy="215900"/>
                <wp:effectExtent l="0" t="0" r="25400" b="12700"/>
                <wp:wrapNone/>
                <wp:docPr id="3" name="Ellipse 3"/>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CC9525" id="Ellipse 3" o:spid="_x0000_s1026" style="position:absolute;margin-left:64.4pt;margin-top:-.05pt;width:17.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" fillcolor="#c00000" strokecolor="#41719c" strokeweight="1pt">
                <v:stroke joinstyle="miter"/>
              </v:oval>
            </w:pict>
          </mc:Fallback>
        </mc:AlternateContent>
      </w:r>
      <w:r w:rsidR="000317E3" w:rsidRPr="00391340">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25C98486" wp14:editId="3EEDDCC0">
                <wp:simplePos x="0" y="0"/>
                <wp:positionH relativeFrom="column">
                  <wp:posOffset>1849755</wp:posOffset>
                </wp:positionH>
                <wp:positionV relativeFrom="paragraph">
                  <wp:posOffset>-635</wp:posOffset>
                </wp:positionV>
                <wp:extent cx="222250" cy="215900"/>
                <wp:effectExtent l="0" t="0" r="25400" b="12700"/>
                <wp:wrapNone/>
                <wp:docPr id="2" name="Ellipse 2"/>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294895" id="Ellipse 2" o:spid="_x0000_s1026" style="position:absolute;margin-left:145.65pt;margin-top:-.05pt;width:17.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" fillcolor="#ffc000" strokecolor="#41719c" strokeweight="1pt">
                <v:stroke joinstyle="miter"/>
              </v:oval>
            </w:pict>
          </mc:Fallback>
        </mc:AlternateContent>
      </w:r>
      <w:r w:rsidR="000317E3" w:rsidRPr="00391340">
        <w:rPr>
          <w:rFonts w:ascii="Times New Roman" w:hAnsi="Times New Roman" w:cs="Times New Roman"/>
          <w:sz w:val="24"/>
          <w:szCs w:val="24"/>
        </w:rPr>
        <w:t xml:space="preserve">   </w:t>
      </w:r>
      <w:r w:rsidR="000317E3" w:rsidRPr="00391340">
        <w:rPr>
          <w:rFonts w:ascii="Times New Roman" w:hAnsi="Times New Roman" w:cs="Times New Roman"/>
          <w:b/>
          <w:sz w:val="24"/>
          <w:szCs w:val="24"/>
        </w:rPr>
        <w:t>Très élevé</w:t>
      </w:r>
      <w:r w:rsidR="000317E3" w:rsidRPr="00391340">
        <w:rPr>
          <w:rFonts w:ascii="Times New Roman" w:hAnsi="Times New Roman" w:cs="Times New Roman"/>
          <w:sz w:val="24"/>
          <w:szCs w:val="24"/>
        </w:rPr>
        <w:t xml:space="preserve"> </w:t>
      </w:r>
      <w:r w:rsidR="000317E3" w:rsidRPr="00391340">
        <w:rPr>
          <w:rFonts w:ascii="Times New Roman" w:hAnsi="Times New Roman" w:cs="Times New Roman"/>
          <w:sz w:val="24"/>
          <w:szCs w:val="24"/>
        </w:rPr>
        <w:tab/>
      </w:r>
      <w:r w:rsidR="000317E3" w:rsidRPr="00391340">
        <w:rPr>
          <w:rFonts w:ascii="Times New Roman" w:hAnsi="Times New Roman" w:cs="Times New Roman"/>
          <w:b/>
          <w:sz w:val="24"/>
          <w:szCs w:val="24"/>
        </w:rPr>
        <w:t>Moyen                        Faible</w:t>
      </w:r>
      <w:r w:rsidR="000317E3" w:rsidRPr="00391340">
        <w:rPr>
          <w:rFonts w:ascii="Times New Roman" w:hAnsi="Times New Roman" w:cs="Times New Roman"/>
          <w:sz w:val="24"/>
          <w:szCs w:val="24"/>
        </w:rPr>
        <w:tab/>
      </w:r>
    </w:p>
    <w:p w14:paraId="7D6E4BF2" w14:textId="77777777" w:rsidR="008A78AF" w:rsidRPr="00391340" w:rsidRDefault="008A78AF" w:rsidP="007879C3">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Ainsi pour les zones de niveau d’insécurité </w:t>
      </w:r>
      <w:r w:rsidR="003E5192" w:rsidRPr="00391340">
        <w:rPr>
          <w:rFonts w:ascii="Times New Roman" w:hAnsi="Times New Roman" w:cs="Times New Roman"/>
          <w:sz w:val="24"/>
          <w:szCs w:val="24"/>
        </w:rPr>
        <w:t>élevée</w:t>
      </w:r>
      <w:r w:rsidRPr="00391340">
        <w:rPr>
          <w:rFonts w:ascii="Times New Roman" w:hAnsi="Times New Roman" w:cs="Times New Roman"/>
          <w:sz w:val="24"/>
          <w:szCs w:val="24"/>
        </w:rPr>
        <w:t xml:space="preserve"> (catégories C3), à savoir les régions de Diffa (Mainé-Soroa et Chétimari) et de Tillabéri (Gothèye, Dargol, Téra et Torodi), ces effets affectant les composantes 1,</w:t>
      </w:r>
      <w:r w:rsidR="00FD2001">
        <w:rPr>
          <w:rFonts w:ascii="Times New Roman" w:hAnsi="Times New Roman" w:cs="Times New Roman"/>
          <w:sz w:val="24"/>
          <w:szCs w:val="24"/>
        </w:rPr>
        <w:t xml:space="preserve"> </w:t>
      </w:r>
      <w:r w:rsidRPr="00391340">
        <w:rPr>
          <w:rFonts w:ascii="Times New Roman" w:hAnsi="Times New Roman" w:cs="Times New Roman"/>
          <w:sz w:val="24"/>
          <w:szCs w:val="24"/>
        </w:rPr>
        <w:t>2 et 4 du projet sont essentiellement:</w:t>
      </w:r>
    </w:p>
    <w:p w14:paraId="0B648179" w14:textId="77777777" w:rsidR="008A78AF" w:rsidRPr="00391340" w:rsidRDefault="008A78AF" w:rsidP="008A78AF">
      <w:pPr>
        <w:contextualSpacing/>
        <w:jc w:val="both"/>
        <w:rPr>
          <w:rFonts w:ascii="Times New Roman" w:hAnsi="Times New Roman" w:cs="Times New Roman"/>
          <w:sz w:val="24"/>
          <w:szCs w:val="24"/>
        </w:rPr>
      </w:pPr>
      <w:r w:rsidRPr="00391340">
        <w:rPr>
          <w:rFonts w:ascii="Times New Roman" w:hAnsi="Times New Roman" w:cs="Times New Roman"/>
          <w:sz w:val="24"/>
          <w:szCs w:val="24"/>
        </w:rPr>
        <w:lastRenderedPageBreak/>
        <w:t xml:space="preserve">- </w:t>
      </w:r>
      <w:r w:rsidR="009B0004" w:rsidRPr="00391340">
        <w:rPr>
          <w:rFonts w:ascii="Times New Roman" w:hAnsi="Times New Roman" w:cs="Times New Roman"/>
          <w:sz w:val="24"/>
          <w:szCs w:val="24"/>
        </w:rPr>
        <w:t xml:space="preserve"> </w:t>
      </w:r>
      <w:r w:rsidRPr="00391340">
        <w:rPr>
          <w:rFonts w:ascii="Times New Roman" w:hAnsi="Times New Roman" w:cs="Times New Roman"/>
          <w:sz w:val="24"/>
          <w:szCs w:val="24"/>
        </w:rPr>
        <w:t>Attaques et destruction des biens et des personnes (bâtiments, travailleurs, véhicules) ou des chantiers (Entrepreneurs et autres prestataires) du projet;</w:t>
      </w:r>
    </w:p>
    <w:p w14:paraId="29C7AA7E" w14:textId="77777777" w:rsidR="008A78AF" w:rsidRPr="00391340" w:rsidRDefault="008A78AF" w:rsidP="008A78AF">
      <w:pPr>
        <w:contextualSpacing/>
        <w:jc w:val="both"/>
        <w:rPr>
          <w:rFonts w:ascii="Times New Roman" w:hAnsi="Times New Roman" w:cs="Times New Roman"/>
          <w:sz w:val="24"/>
          <w:szCs w:val="24"/>
        </w:rPr>
      </w:pPr>
      <w:r w:rsidRPr="00391340">
        <w:rPr>
          <w:rFonts w:ascii="Times New Roman" w:hAnsi="Times New Roman" w:cs="Times New Roman"/>
          <w:sz w:val="24"/>
          <w:szCs w:val="24"/>
        </w:rPr>
        <w:t>-</w:t>
      </w:r>
      <w:r w:rsidR="009B0004" w:rsidRPr="00391340">
        <w:rPr>
          <w:rFonts w:ascii="Times New Roman" w:hAnsi="Times New Roman" w:cs="Times New Roman"/>
          <w:sz w:val="24"/>
          <w:szCs w:val="24"/>
        </w:rPr>
        <w:t xml:space="preserve"> </w:t>
      </w:r>
      <w:r w:rsidRPr="00391340">
        <w:rPr>
          <w:rFonts w:ascii="Times New Roman" w:hAnsi="Times New Roman" w:cs="Times New Roman"/>
          <w:sz w:val="24"/>
          <w:szCs w:val="24"/>
        </w:rPr>
        <w:t>Enlèvement des travailleurs, des biens du PISEN ou prestataires</w:t>
      </w:r>
    </w:p>
    <w:p w14:paraId="6BE46BB4" w14:textId="77777777" w:rsidR="008A78AF" w:rsidRPr="00391340" w:rsidRDefault="008A78AF" w:rsidP="008A78AF">
      <w:pPr>
        <w:contextualSpacing/>
        <w:jc w:val="both"/>
        <w:rPr>
          <w:rFonts w:ascii="Times New Roman" w:hAnsi="Times New Roman" w:cs="Times New Roman"/>
          <w:sz w:val="24"/>
          <w:szCs w:val="24"/>
        </w:rPr>
      </w:pPr>
      <w:r w:rsidRPr="00391340">
        <w:rPr>
          <w:rFonts w:ascii="Times New Roman" w:hAnsi="Times New Roman" w:cs="Times New Roman"/>
          <w:sz w:val="24"/>
          <w:szCs w:val="24"/>
        </w:rPr>
        <w:t>-</w:t>
      </w:r>
      <w:r w:rsidR="009B0004" w:rsidRPr="00391340">
        <w:rPr>
          <w:rFonts w:ascii="Times New Roman" w:hAnsi="Times New Roman" w:cs="Times New Roman"/>
          <w:sz w:val="24"/>
          <w:szCs w:val="24"/>
        </w:rPr>
        <w:t xml:space="preserve"> </w:t>
      </w:r>
      <w:r w:rsidRPr="00391340">
        <w:rPr>
          <w:rFonts w:ascii="Times New Roman" w:hAnsi="Times New Roman" w:cs="Times New Roman"/>
          <w:sz w:val="24"/>
          <w:szCs w:val="24"/>
        </w:rPr>
        <w:t>Conditions de travail insupportables : menaces, stress, refus des entreprises d’aller travailler;</w:t>
      </w:r>
    </w:p>
    <w:p w14:paraId="3504C09E" w14:textId="77777777" w:rsidR="008A78AF" w:rsidRPr="00391340" w:rsidRDefault="008A78AF" w:rsidP="008A78AF">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w:t>
      </w:r>
      <w:r w:rsidR="009B0004" w:rsidRPr="00391340">
        <w:rPr>
          <w:rFonts w:ascii="Times New Roman" w:hAnsi="Times New Roman" w:cs="Times New Roman"/>
          <w:sz w:val="24"/>
          <w:szCs w:val="24"/>
        </w:rPr>
        <w:t xml:space="preserve"> </w:t>
      </w:r>
      <w:r w:rsidRPr="00391340">
        <w:rPr>
          <w:rFonts w:ascii="Times New Roman" w:hAnsi="Times New Roman" w:cs="Times New Roman"/>
          <w:sz w:val="24"/>
          <w:szCs w:val="24"/>
        </w:rPr>
        <w:t>Retards dans les travaux prévus dans la zone</w:t>
      </w:r>
      <w:r w:rsidR="009B0004" w:rsidRPr="00391340">
        <w:rPr>
          <w:rFonts w:ascii="Times New Roman" w:hAnsi="Times New Roman" w:cs="Times New Roman"/>
          <w:sz w:val="24"/>
          <w:szCs w:val="24"/>
        </w:rPr>
        <w:t>.</w:t>
      </w:r>
    </w:p>
    <w:p w14:paraId="125E3A5A" w14:textId="77777777" w:rsidR="00A906B9" w:rsidRPr="00391340" w:rsidRDefault="00A906B9" w:rsidP="008A78AF">
      <w:pPr>
        <w:spacing w:after="120" w:line="240" w:lineRule="auto"/>
        <w:contextualSpacing/>
        <w:jc w:val="both"/>
        <w:rPr>
          <w:rFonts w:ascii="Times New Roman" w:hAnsi="Times New Roman" w:cs="Times New Roman"/>
          <w:sz w:val="24"/>
          <w:szCs w:val="24"/>
        </w:rPr>
      </w:pPr>
    </w:p>
    <w:p w14:paraId="43F15713" w14:textId="77777777" w:rsidR="008A78AF" w:rsidRPr="00391340" w:rsidRDefault="009B0004" w:rsidP="007879C3">
      <w:pPr>
        <w:spacing w:after="120" w:line="240" w:lineRule="auto"/>
        <w:contextualSpacing/>
        <w:jc w:val="both"/>
        <w:rPr>
          <w:rFonts w:ascii="Times New Roman" w:hAnsi="Times New Roman" w:cs="Times New Roman"/>
          <w:bCs/>
          <w:sz w:val="24"/>
          <w:szCs w:val="24"/>
        </w:rPr>
      </w:pPr>
      <w:r w:rsidRPr="00391340">
        <w:rPr>
          <w:rFonts w:ascii="Times New Roman" w:hAnsi="Times New Roman" w:cs="Times New Roman"/>
          <w:sz w:val="24"/>
          <w:szCs w:val="24"/>
        </w:rPr>
        <w:t xml:space="preserve">Alors que les effets pour le niveau de risque moyen (catégorie C2) concernent plusieurs départements ou communes d’Agadez, Diffa, Maradi et Tahoua </w:t>
      </w:r>
      <w:r w:rsidRPr="00C6325F">
        <w:rPr>
          <w:rFonts w:ascii="Times New Roman" w:hAnsi="Times New Roman" w:cs="Times New Roman"/>
          <w:sz w:val="24"/>
          <w:szCs w:val="24"/>
        </w:rPr>
        <w:t xml:space="preserve">ainsi </w:t>
      </w:r>
      <w:r w:rsidR="009F2FFB" w:rsidRPr="00C6325F">
        <w:rPr>
          <w:rFonts w:ascii="Times New Roman" w:hAnsi="Times New Roman" w:cs="Times New Roman"/>
          <w:sz w:val="24"/>
          <w:szCs w:val="24"/>
        </w:rPr>
        <w:t xml:space="preserve">que </w:t>
      </w:r>
      <w:r w:rsidRPr="00C6325F">
        <w:rPr>
          <w:rFonts w:ascii="Times New Roman" w:hAnsi="Times New Roman" w:cs="Times New Roman"/>
          <w:sz w:val="24"/>
          <w:szCs w:val="24"/>
        </w:rPr>
        <w:t>quelques</w:t>
      </w:r>
      <w:r w:rsidRPr="00391340">
        <w:rPr>
          <w:rFonts w:ascii="Times New Roman" w:hAnsi="Times New Roman" w:cs="Times New Roman"/>
          <w:sz w:val="24"/>
          <w:szCs w:val="24"/>
        </w:rPr>
        <w:t xml:space="preserve"> départements ou communes des régions de </w:t>
      </w:r>
      <w:r w:rsidRPr="00391340">
        <w:rPr>
          <w:rFonts w:ascii="Times New Roman" w:hAnsi="Times New Roman" w:cs="Times New Roman"/>
          <w:b/>
          <w:bCs/>
          <w:sz w:val="24"/>
          <w:szCs w:val="24"/>
        </w:rPr>
        <w:t>Dosso (</w:t>
      </w:r>
      <w:r w:rsidR="00593D57">
        <w:rPr>
          <w:rFonts w:ascii="Times New Roman" w:hAnsi="Times New Roman" w:cs="Times New Roman"/>
          <w:sz w:val="24"/>
          <w:szCs w:val="24"/>
        </w:rPr>
        <w:t>Dout</w:t>
      </w:r>
      <w:r w:rsidRPr="00391340">
        <w:rPr>
          <w:rFonts w:ascii="Times New Roman" w:hAnsi="Times New Roman" w:cs="Times New Roman"/>
          <w:sz w:val="24"/>
          <w:szCs w:val="24"/>
        </w:rPr>
        <w:t>c</w:t>
      </w:r>
      <w:r w:rsidR="00593D57">
        <w:rPr>
          <w:rFonts w:ascii="Times New Roman" w:hAnsi="Times New Roman" w:cs="Times New Roman"/>
          <w:sz w:val="24"/>
          <w:szCs w:val="24"/>
        </w:rPr>
        <w:t>h</w:t>
      </w:r>
      <w:r w:rsidRPr="00391340">
        <w:rPr>
          <w:rFonts w:ascii="Times New Roman" w:hAnsi="Times New Roman" w:cs="Times New Roman"/>
          <w:sz w:val="24"/>
          <w:szCs w:val="24"/>
        </w:rPr>
        <w:t>i, Matankari</w:t>
      </w:r>
      <w:r w:rsidRPr="00391340">
        <w:rPr>
          <w:rFonts w:ascii="Times New Roman" w:hAnsi="Times New Roman" w:cs="Times New Roman"/>
          <w:bCs/>
          <w:sz w:val="24"/>
          <w:szCs w:val="24"/>
        </w:rPr>
        <w:t>) et de Tillabéri (commune rurale de Namaro) et sont :</w:t>
      </w:r>
    </w:p>
    <w:p w14:paraId="1CA65F94" w14:textId="77777777" w:rsidR="009B0004" w:rsidRPr="00391340" w:rsidRDefault="009B0004" w:rsidP="007879C3">
      <w:pPr>
        <w:spacing w:after="120" w:line="240" w:lineRule="auto"/>
        <w:contextualSpacing/>
        <w:jc w:val="both"/>
        <w:rPr>
          <w:rFonts w:ascii="Times New Roman" w:hAnsi="Times New Roman" w:cs="Times New Roman"/>
          <w:sz w:val="24"/>
          <w:szCs w:val="24"/>
        </w:rPr>
      </w:pPr>
    </w:p>
    <w:p w14:paraId="35AD64EB" w14:textId="77777777" w:rsidR="009B0004" w:rsidRPr="00391340" w:rsidRDefault="009B0004" w:rsidP="009B0004">
      <w:pPr>
        <w:jc w:val="both"/>
        <w:rPr>
          <w:rFonts w:ascii="Times New Roman" w:hAnsi="Times New Roman" w:cs="Times New Roman"/>
          <w:sz w:val="24"/>
          <w:szCs w:val="24"/>
        </w:rPr>
      </w:pPr>
      <w:r w:rsidRPr="00391340">
        <w:rPr>
          <w:rFonts w:ascii="Times New Roman" w:hAnsi="Times New Roman" w:cs="Times New Roman"/>
          <w:sz w:val="24"/>
          <w:szCs w:val="24"/>
        </w:rPr>
        <w:t xml:space="preserve">-Vandalisme des biens du projet ou des réalisations en cours et ; </w:t>
      </w:r>
    </w:p>
    <w:p w14:paraId="58054F08" w14:textId="77777777" w:rsidR="008A78AF" w:rsidRPr="00391340" w:rsidRDefault="009B0004" w:rsidP="009B0004">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-Vols des biens du projet ou des entreprises contractantes</w:t>
      </w:r>
      <w:r w:rsidR="00A906B9" w:rsidRPr="00391340">
        <w:rPr>
          <w:rFonts w:ascii="Times New Roman" w:hAnsi="Times New Roman" w:cs="Times New Roman"/>
          <w:sz w:val="24"/>
          <w:szCs w:val="24"/>
        </w:rPr>
        <w:t>.</w:t>
      </w:r>
    </w:p>
    <w:p w14:paraId="5EB5C091" w14:textId="77777777" w:rsidR="00A906B9" w:rsidRPr="00391340" w:rsidRDefault="00A906B9" w:rsidP="009B0004">
      <w:pPr>
        <w:spacing w:after="120" w:line="240" w:lineRule="auto"/>
        <w:contextualSpacing/>
        <w:jc w:val="both"/>
        <w:rPr>
          <w:rFonts w:ascii="Times New Roman" w:hAnsi="Times New Roman" w:cs="Times New Roman"/>
          <w:sz w:val="24"/>
          <w:szCs w:val="24"/>
        </w:rPr>
      </w:pPr>
    </w:p>
    <w:p w14:paraId="7DA972A2" w14:textId="77777777" w:rsidR="008A78AF" w:rsidRPr="00391340" w:rsidRDefault="00A906B9" w:rsidP="007879C3">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Enfin, les effets des risques faibles (catégorie 1) concernent le reste des départements et communes du pays et sont pratiquement des risques communs à tout projet à savoir :</w:t>
      </w:r>
    </w:p>
    <w:p w14:paraId="689FA9A2" w14:textId="77777777" w:rsidR="00A906B9" w:rsidRPr="00391340" w:rsidRDefault="00A906B9" w:rsidP="00A906B9">
      <w:pPr>
        <w:contextualSpacing/>
        <w:jc w:val="both"/>
        <w:rPr>
          <w:rFonts w:ascii="Times New Roman" w:hAnsi="Times New Roman" w:cs="Times New Roman"/>
          <w:sz w:val="24"/>
          <w:szCs w:val="24"/>
        </w:rPr>
      </w:pPr>
      <w:r w:rsidRPr="00391340">
        <w:rPr>
          <w:rFonts w:ascii="Times New Roman" w:hAnsi="Times New Roman" w:cs="Times New Roman"/>
          <w:sz w:val="24"/>
          <w:szCs w:val="24"/>
        </w:rPr>
        <w:t>-Risques de VBG du fait de l’afflux de la main d’œuvre employés ou de personnes à la recherche de diverses opportunités du projet ;</w:t>
      </w:r>
    </w:p>
    <w:p w14:paraId="503BA48F" w14:textId="77777777" w:rsidR="00A906B9" w:rsidRPr="00391340" w:rsidRDefault="00A906B9" w:rsidP="00A906B9">
      <w:pPr>
        <w:contextualSpacing/>
        <w:jc w:val="both"/>
        <w:rPr>
          <w:rFonts w:ascii="Times New Roman" w:hAnsi="Times New Roman" w:cs="Times New Roman"/>
          <w:sz w:val="24"/>
          <w:szCs w:val="24"/>
        </w:rPr>
      </w:pPr>
      <w:r w:rsidRPr="00391340">
        <w:rPr>
          <w:rFonts w:ascii="Times New Roman" w:hAnsi="Times New Roman" w:cs="Times New Roman"/>
          <w:sz w:val="24"/>
          <w:szCs w:val="24"/>
        </w:rPr>
        <w:t>-Risques de mécontentement du fait de la forte sollicitation surtout en cas de contingence et ;</w:t>
      </w:r>
    </w:p>
    <w:p w14:paraId="1B24F3B1" w14:textId="77777777" w:rsidR="00A906B9" w:rsidRPr="00391340" w:rsidRDefault="00A906B9" w:rsidP="00A906B9">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-Risque de difficultés de gestion du foncier</w:t>
      </w:r>
    </w:p>
    <w:p w14:paraId="73A59CCC" w14:textId="77777777" w:rsidR="008A78AF" w:rsidRPr="00391340" w:rsidRDefault="008A78AF" w:rsidP="007879C3">
      <w:pPr>
        <w:spacing w:after="120" w:line="240" w:lineRule="auto"/>
        <w:contextualSpacing/>
        <w:jc w:val="both"/>
        <w:rPr>
          <w:rFonts w:ascii="Times New Roman" w:hAnsi="Times New Roman" w:cs="Times New Roman"/>
          <w:sz w:val="24"/>
          <w:szCs w:val="24"/>
        </w:rPr>
      </w:pPr>
    </w:p>
    <w:p w14:paraId="337D3399" w14:textId="77777777" w:rsidR="00972F68" w:rsidRPr="00391340" w:rsidRDefault="00972F68" w:rsidP="006019FD">
      <w:pPr>
        <w:spacing w:after="120" w:line="240" w:lineRule="auto"/>
        <w:contextualSpacing/>
        <w:jc w:val="both"/>
        <w:rPr>
          <w:rFonts w:ascii="Times New Roman" w:eastAsiaTheme="majorEastAsia" w:hAnsi="Times New Roman" w:cs="Times New Roman"/>
          <w:b/>
          <w:smallCaps/>
          <w:sz w:val="24"/>
          <w:szCs w:val="24"/>
        </w:rPr>
      </w:pPr>
      <w:r w:rsidRPr="00391340">
        <w:rPr>
          <w:rFonts w:ascii="Times New Roman" w:hAnsi="Times New Roman" w:cs="Times New Roman"/>
          <w:sz w:val="24"/>
          <w:szCs w:val="24"/>
        </w:rPr>
        <w:t xml:space="preserve"> </w:t>
      </w:r>
      <w:bookmarkStart w:id="29" w:name="_Toc100399106"/>
      <w:r w:rsidR="00946E7A">
        <w:rPr>
          <w:rFonts w:ascii="Times New Roman" w:eastAsiaTheme="majorEastAsia" w:hAnsi="Times New Roman" w:cs="Times New Roman"/>
          <w:b/>
          <w:smallCaps/>
          <w:sz w:val="24"/>
          <w:szCs w:val="24"/>
        </w:rPr>
        <w:t>3</w:t>
      </w:r>
      <w:r w:rsidRPr="00391340">
        <w:rPr>
          <w:rFonts w:ascii="Times New Roman" w:eastAsiaTheme="majorEastAsia" w:hAnsi="Times New Roman" w:cs="Times New Roman"/>
          <w:b/>
          <w:smallCaps/>
          <w:sz w:val="24"/>
          <w:szCs w:val="24"/>
        </w:rPr>
        <w:t>. Gestion des risques de sécurité du Projet</w:t>
      </w:r>
      <w:bookmarkEnd w:id="29"/>
      <w:r w:rsidRPr="00391340">
        <w:rPr>
          <w:rFonts w:ascii="Times New Roman" w:eastAsiaTheme="majorEastAsia" w:hAnsi="Times New Roman" w:cs="Times New Roman"/>
          <w:b/>
          <w:smallCaps/>
          <w:sz w:val="24"/>
          <w:szCs w:val="24"/>
        </w:rPr>
        <w:t xml:space="preserve"> </w:t>
      </w:r>
    </w:p>
    <w:p w14:paraId="6531473A" w14:textId="77777777" w:rsidR="00972F68" w:rsidRPr="00391340" w:rsidRDefault="00972F68" w:rsidP="00B02C90">
      <w:pPr>
        <w:pStyle w:val="Titre2"/>
        <w:ind w:left="1069"/>
        <w:jc w:val="both"/>
        <w:rPr>
          <w:rFonts w:ascii="Times New Roman" w:hAnsi="Times New Roman" w:cs="Times New Roman"/>
          <w:b/>
          <w:color w:val="auto"/>
          <w:sz w:val="24"/>
          <w:szCs w:val="24"/>
        </w:rPr>
      </w:pPr>
      <w:bookmarkStart w:id="30" w:name="_Toc100399107"/>
      <w:r w:rsidRPr="00391340">
        <w:rPr>
          <w:rFonts w:ascii="Times New Roman" w:hAnsi="Times New Roman" w:cs="Times New Roman"/>
          <w:b/>
          <w:color w:val="auto"/>
          <w:sz w:val="24"/>
          <w:szCs w:val="24"/>
        </w:rPr>
        <w:t>3.1 Objectifs du Plan de Gestion des Risques de sécurité</w:t>
      </w:r>
      <w:bookmarkEnd w:id="30"/>
    </w:p>
    <w:p w14:paraId="2E866353" w14:textId="77777777" w:rsidR="00972F68" w:rsidRPr="00391340" w:rsidRDefault="00972F68" w:rsidP="00972F68">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Pour prendre en charge les questions sécuritaires dans la mise en œuvre du PISEN, la meilleure approche préconisée est la prévention, en vue de réduire les risques et écarter les facteurs probables ou en amoindrir les effets en cas de survenance. Ainsi, le Plan de Gestion des risques de Sécurité du PISEN vise les objectifs suivants : </w:t>
      </w:r>
    </w:p>
    <w:p w14:paraId="749D262A"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Déployer un dispositif fonctionnel en vue de réduire les risques et menaces sur les activités du projet dans les zones à risque élevé et risque moyen ;</w:t>
      </w:r>
    </w:p>
    <w:p w14:paraId="4BCE103E"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Mobiliser et optimiser l’ensemble des ressources du projet dès l’étape de la planification ;</w:t>
      </w:r>
    </w:p>
    <w:p w14:paraId="3B520572"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Faciliter la mise en œuvre des activités ;</w:t>
      </w:r>
    </w:p>
    <w:p w14:paraId="54A7C7F8"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Accroître la responsabilisation des divers acteurs à l’égard des risques associés à leurs activités courantes</w:t>
      </w:r>
      <w:r w:rsidR="00C53A44" w:rsidRPr="00391340">
        <w:rPr>
          <w:rFonts w:ascii="Times New Roman" w:hAnsi="Times New Roman" w:cs="Times New Roman"/>
          <w:sz w:val="24"/>
          <w:szCs w:val="24"/>
        </w:rPr>
        <w:t>.</w:t>
      </w:r>
    </w:p>
    <w:p w14:paraId="43AF61F7"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S’assurer de la conformité des actions réalisées aux lois, aux règlements et aux normes en vigueur ;</w:t>
      </w:r>
    </w:p>
    <w:p w14:paraId="3A4E17A6"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Concentrer les énergies et les ressources sur les priorités ;</w:t>
      </w:r>
    </w:p>
    <w:p w14:paraId="60EE09C1"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Réduire les imprévus et</w:t>
      </w:r>
    </w:p>
    <w:p w14:paraId="26F911C6" w14:textId="77777777" w:rsidR="00972F68" w:rsidRPr="00391340" w:rsidRDefault="00972F68" w:rsidP="00972F68">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Evaluer et mettre à jour, l’information sur les menaces et l’efficacité des mesures prises ou adoptées.</w:t>
      </w:r>
    </w:p>
    <w:p w14:paraId="3C2B988B" w14:textId="77777777" w:rsidR="00732C35" w:rsidRPr="00391340" w:rsidRDefault="00732C35" w:rsidP="00B02C90">
      <w:pPr>
        <w:pStyle w:val="Titre2"/>
        <w:ind w:left="1069"/>
        <w:jc w:val="both"/>
        <w:rPr>
          <w:rFonts w:ascii="Times New Roman" w:hAnsi="Times New Roman" w:cs="Times New Roman"/>
          <w:b/>
          <w:color w:val="auto"/>
          <w:sz w:val="24"/>
          <w:szCs w:val="24"/>
        </w:rPr>
      </w:pPr>
      <w:r w:rsidRPr="00593D57">
        <w:rPr>
          <w:rFonts w:ascii="Times New Roman" w:hAnsi="Times New Roman" w:cs="Times New Roman"/>
          <w:b/>
          <w:color w:val="auto"/>
          <w:sz w:val="24"/>
          <w:szCs w:val="24"/>
        </w:rPr>
        <w:t>3.</w:t>
      </w:r>
      <w:r w:rsidR="00AE7BE6" w:rsidRPr="00593D57">
        <w:rPr>
          <w:rFonts w:ascii="Times New Roman" w:hAnsi="Times New Roman" w:cs="Times New Roman"/>
          <w:b/>
          <w:color w:val="auto"/>
          <w:sz w:val="24"/>
          <w:szCs w:val="24"/>
        </w:rPr>
        <w:t>2</w:t>
      </w:r>
      <w:r w:rsidRPr="00391340">
        <w:rPr>
          <w:rFonts w:ascii="Times New Roman" w:hAnsi="Times New Roman" w:cs="Times New Roman"/>
          <w:b/>
          <w:color w:val="auto"/>
          <w:sz w:val="24"/>
          <w:szCs w:val="24"/>
        </w:rPr>
        <w:t xml:space="preserve"> Rôle de l’Unité de Gestion du Projet (UGP)</w:t>
      </w:r>
    </w:p>
    <w:p w14:paraId="6F87EE80" w14:textId="77777777" w:rsidR="00B22744" w:rsidRPr="00391340" w:rsidRDefault="00BA4DA0" w:rsidP="00B22744">
      <w:pPr>
        <w:numPr>
          <w:ilvl w:val="0"/>
          <w:numId w:val="7"/>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La démarche de gestion des risques repose sur un engagement clair et établi au sein de l’Unité de Gestion de Projet (UGP) qui doit relever du Coordonnateur National. Elle doit compter sur un leadership fort permettant d’encadrer adéquatement la réalisation de ses différentes étapes. Cette démarche devrait également être soutenue par un engagement formel et des mécanismes de mise en œuvre notamment le manuel d’exécution du PISEN.</w:t>
      </w:r>
      <w:r w:rsidR="00051412">
        <w:rPr>
          <w:rFonts w:ascii="Times New Roman" w:hAnsi="Times New Roman" w:cs="Times New Roman"/>
          <w:sz w:val="24"/>
          <w:szCs w:val="24"/>
        </w:rPr>
        <w:t xml:space="preserve"> L’UGP disposera d’un </w:t>
      </w:r>
      <w:r w:rsidR="00051412">
        <w:rPr>
          <w:rFonts w:ascii="Times New Roman" w:hAnsi="Times New Roman" w:cs="Times New Roman"/>
          <w:sz w:val="24"/>
          <w:szCs w:val="24"/>
        </w:rPr>
        <w:lastRenderedPageBreak/>
        <w:t>Assistant technique en Sécurité (ATS)</w:t>
      </w:r>
      <w:r w:rsidR="00B22744">
        <w:rPr>
          <w:rFonts w:ascii="Times New Roman" w:hAnsi="Times New Roman" w:cs="Times New Roman"/>
          <w:sz w:val="24"/>
          <w:szCs w:val="24"/>
        </w:rPr>
        <w:t xml:space="preserve"> et veillera au </w:t>
      </w:r>
      <w:r w:rsidR="00B22744" w:rsidRPr="00391340">
        <w:rPr>
          <w:rFonts w:ascii="Times New Roman" w:hAnsi="Times New Roman" w:cs="Times New Roman"/>
          <w:sz w:val="24"/>
          <w:szCs w:val="24"/>
        </w:rPr>
        <w:t>renforcement des capacités du personnel en matière de gestion des risques sécuritaires, en vue de l’appropriation d’une culture de la sécurité</w:t>
      </w:r>
      <w:r w:rsidR="00B22744">
        <w:rPr>
          <w:rFonts w:ascii="Times New Roman" w:hAnsi="Times New Roman" w:cs="Times New Roman"/>
          <w:sz w:val="24"/>
          <w:szCs w:val="24"/>
        </w:rPr>
        <w:t xml:space="preserve">. Elle assurera également </w:t>
      </w:r>
      <w:r w:rsidR="00B22744" w:rsidRPr="00391340">
        <w:rPr>
          <w:rFonts w:ascii="Times New Roman" w:hAnsi="Times New Roman" w:cs="Times New Roman"/>
          <w:sz w:val="24"/>
          <w:szCs w:val="24"/>
        </w:rPr>
        <w:t>l’identification, l’allocation et la mobilisation des ressources nécessaires à la mise en œuvre de la démarche, y compris les aspects liés à la formation;</w:t>
      </w:r>
    </w:p>
    <w:p w14:paraId="4CD594D1" w14:textId="77777777" w:rsidR="00BA4DA0" w:rsidRPr="00391340" w:rsidRDefault="00BA4DA0" w:rsidP="00BA4DA0">
      <w:pPr>
        <w:spacing w:after="120" w:line="240" w:lineRule="auto"/>
        <w:ind w:left="709"/>
        <w:jc w:val="both"/>
        <w:rPr>
          <w:rFonts w:ascii="Times New Roman" w:hAnsi="Times New Roman" w:cs="Times New Roman"/>
          <w:sz w:val="24"/>
          <w:szCs w:val="24"/>
        </w:rPr>
      </w:pPr>
    </w:p>
    <w:p w14:paraId="38BAFA8E" w14:textId="77777777" w:rsidR="00BA4DA0" w:rsidRPr="00391340" w:rsidRDefault="00BA4DA0" w:rsidP="00B02C90">
      <w:pPr>
        <w:pStyle w:val="Titre2"/>
        <w:ind w:left="1069"/>
        <w:jc w:val="both"/>
        <w:rPr>
          <w:rFonts w:ascii="Times New Roman" w:hAnsi="Times New Roman" w:cs="Times New Roman"/>
          <w:b/>
          <w:color w:val="auto"/>
          <w:sz w:val="24"/>
          <w:szCs w:val="24"/>
        </w:rPr>
      </w:pPr>
      <w:bookmarkStart w:id="31" w:name="_Toc100399109"/>
      <w:r w:rsidRPr="00391340">
        <w:rPr>
          <w:rFonts w:ascii="Times New Roman" w:hAnsi="Times New Roman" w:cs="Times New Roman"/>
          <w:b/>
          <w:color w:val="auto"/>
          <w:sz w:val="24"/>
          <w:szCs w:val="24"/>
        </w:rPr>
        <w:t>3.3 Destinataires</w:t>
      </w:r>
      <w:bookmarkEnd w:id="31"/>
    </w:p>
    <w:p w14:paraId="782AF140" w14:textId="77777777" w:rsidR="00BA4DA0" w:rsidRPr="00391340" w:rsidRDefault="00BA4DA0" w:rsidP="00BA4DA0">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Le Plan de Gestion des risques de Sécurité s’adresse principalement au personnel national et international qui sera impliqué dans la mise en œuvre du PISEN.</w:t>
      </w:r>
    </w:p>
    <w:p w14:paraId="22761206" w14:textId="77777777" w:rsidR="00BA4DA0" w:rsidRPr="00391340" w:rsidRDefault="00BA4DA0" w:rsidP="00BA4DA0">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De ce fait, </w:t>
      </w:r>
      <w:r w:rsidRPr="00391340">
        <w:rPr>
          <w:rFonts w:ascii="Times New Roman" w:hAnsi="Times New Roman" w:cs="Times New Roman"/>
          <w:b/>
          <w:bCs/>
          <w:sz w:val="24"/>
          <w:szCs w:val="24"/>
        </w:rPr>
        <w:t>le personnel de l’UGP</w:t>
      </w:r>
      <w:r w:rsidRPr="00391340">
        <w:rPr>
          <w:rFonts w:ascii="Times New Roman" w:hAnsi="Times New Roman" w:cs="Times New Roman"/>
          <w:sz w:val="24"/>
          <w:szCs w:val="24"/>
        </w:rPr>
        <w:t xml:space="preserve"> </w:t>
      </w:r>
      <w:r w:rsidRPr="00391340">
        <w:rPr>
          <w:rFonts w:ascii="Times New Roman" w:hAnsi="Times New Roman" w:cs="Times New Roman"/>
          <w:b/>
          <w:bCs/>
          <w:sz w:val="24"/>
          <w:szCs w:val="24"/>
        </w:rPr>
        <w:t>a l’obligation de suivre les règles</w:t>
      </w:r>
      <w:r w:rsidRPr="00391340">
        <w:rPr>
          <w:rFonts w:ascii="Times New Roman" w:hAnsi="Times New Roman" w:cs="Times New Roman"/>
          <w:sz w:val="24"/>
          <w:szCs w:val="24"/>
        </w:rPr>
        <w:t xml:space="preserve"> sécuritaires du présent plan et s’en tenir strictement aux consignes et actualisations.</w:t>
      </w:r>
    </w:p>
    <w:p w14:paraId="269E27B4" w14:textId="77777777" w:rsidR="00BA4DA0" w:rsidRPr="00391340" w:rsidRDefault="00BA4DA0" w:rsidP="00BA4DA0">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b/>
          <w:bCs/>
          <w:sz w:val="24"/>
          <w:szCs w:val="24"/>
        </w:rPr>
        <w:t>Les partenaires</w:t>
      </w:r>
      <w:r w:rsidRPr="00391340">
        <w:rPr>
          <w:rFonts w:ascii="Times New Roman" w:hAnsi="Times New Roman" w:cs="Times New Roman"/>
          <w:sz w:val="24"/>
          <w:szCs w:val="24"/>
        </w:rPr>
        <w:t xml:space="preserve"> quant à eux à savoir </w:t>
      </w:r>
      <w:r w:rsidRPr="00391340">
        <w:rPr>
          <w:rFonts w:ascii="Times New Roman" w:hAnsi="Times New Roman" w:cs="Times New Roman"/>
          <w:b/>
          <w:bCs/>
          <w:sz w:val="24"/>
          <w:szCs w:val="24"/>
        </w:rPr>
        <w:t>les bailleurs de fonds, les consultants, les prestataires de services</w:t>
      </w:r>
      <w:r w:rsidRPr="00391340">
        <w:rPr>
          <w:rFonts w:ascii="Times New Roman" w:hAnsi="Times New Roman" w:cs="Times New Roman"/>
          <w:sz w:val="24"/>
          <w:szCs w:val="24"/>
        </w:rPr>
        <w:t xml:space="preserve"> seront fortement recommandés de suivre les instructions et orientations du présent PGS. Chaque entité aura à respecter les consignes conformément au document juridique qui clarifiera le rôle de l’UGP et de l’entité en question. Ainsi la responsabilité juridique de l’UGP en matière de sécurité est clarifiée.</w:t>
      </w:r>
    </w:p>
    <w:p w14:paraId="1C65EEB9" w14:textId="77777777" w:rsidR="006D3870" w:rsidRPr="00391340" w:rsidRDefault="00BA4DA0" w:rsidP="00BA4DA0">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Pour la première année de mise en œuvre, les principaux éléments du PGS seront présentés à chaque nouvelle rencontre. </w:t>
      </w:r>
    </w:p>
    <w:p w14:paraId="0D83E9E1" w14:textId="77777777" w:rsidR="006D3870" w:rsidRPr="00391340" w:rsidRDefault="00946E7A" w:rsidP="006D3870">
      <w:pPr>
        <w:keepNext/>
        <w:keepLines/>
        <w:spacing w:before="240" w:after="0" w:line="240" w:lineRule="auto"/>
        <w:ind w:left="720"/>
        <w:outlineLvl w:val="0"/>
        <w:rPr>
          <w:rFonts w:ascii="Times New Roman" w:eastAsiaTheme="majorEastAsia" w:hAnsi="Times New Roman" w:cs="Times New Roman"/>
          <w:b/>
          <w:smallCaps/>
          <w:sz w:val="24"/>
          <w:szCs w:val="24"/>
        </w:rPr>
      </w:pPr>
      <w:bookmarkStart w:id="32" w:name="_Toc100399112"/>
      <w:r>
        <w:rPr>
          <w:rFonts w:ascii="Times New Roman" w:eastAsiaTheme="majorEastAsia" w:hAnsi="Times New Roman" w:cs="Times New Roman"/>
          <w:b/>
          <w:smallCaps/>
          <w:sz w:val="24"/>
          <w:szCs w:val="24"/>
        </w:rPr>
        <w:t>4</w:t>
      </w:r>
      <w:r w:rsidR="006D3870" w:rsidRPr="00391340">
        <w:rPr>
          <w:rFonts w:ascii="Times New Roman" w:eastAsiaTheme="majorEastAsia" w:hAnsi="Times New Roman" w:cs="Times New Roman"/>
          <w:b/>
          <w:smallCaps/>
          <w:sz w:val="24"/>
          <w:szCs w:val="24"/>
        </w:rPr>
        <w:t>. Environnement institutionnel de Gestion des Risques</w:t>
      </w:r>
      <w:bookmarkEnd w:id="32"/>
    </w:p>
    <w:p w14:paraId="18B018D5" w14:textId="77777777" w:rsidR="006D3870" w:rsidRPr="00391340" w:rsidRDefault="00B02C90" w:rsidP="00B02C90">
      <w:pPr>
        <w:pStyle w:val="Titre2"/>
        <w:ind w:left="1069"/>
        <w:jc w:val="both"/>
        <w:rPr>
          <w:rFonts w:ascii="Times New Roman" w:hAnsi="Times New Roman" w:cs="Times New Roman"/>
          <w:b/>
          <w:color w:val="auto"/>
          <w:sz w:val="24"/>
          <w:szCs w:val="24"/>
        </w:rPr>
      </w:pPr>
      <w:bookmarkStart w:id="33" w:name="_Toc82902513"/>
      <w:bookmarkStart w:id="34" w:name="_Toc100399113"/>
      <w:r w:rsidRPr="00391340">
        <w:rPr>
          <w:rFonts w:ascii="Times New Roman" w:hAnsi="Times New Roman" w:cs="Times New Roman"/>
          <w:b/>
          <w:color w:val="auto"/>
          <w:sz w:val="24"/>
          <w:szCs w:val="24"/>
        </w:rPr>
        <w:t xml:space="preserve">4.1 </w:t>
      </w:r>
      <w:bookmarkEnd w:id="33"/>
      <w:r w:rsidRPr="00391340">
        <w:rPr>
          <w:rFonts w:ascii="Times New Roman" w:hAnsi="Times New Roman" w:cs="Times New Roman"/>
          <w:b/>
          <w:color w:val="auto"/>
          <w:sz w:val="24"/>
          <w:szCs w:val="24"/>
        </w:rPr>
        <w:t>Cadre national de gestion de sécurité</w:t>
      </w:r>
      <w:bookmarkEnd w:id="34"/>
    </w:p>
    <w:p w14:paraId="36B570C8" w14:textId="77777777" w:rsidR="006D3870" w:rsidRPr="00391340" w:rsidRDefault="006D3870" w:rsidP="00BA4DA0">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Ce cadre comprend principalement:</w:t>
      </w:r>
    </w:p>
    <w:p w14:paraId="69B4747B" w14:textId="77777777" w:rsidR="006D3870" w:rsidRPr="00391340" w:rsidRDefault="006D3870" w:rsidP="006D3870">
      <w:pPr>
        <w:pStyle w:val="Paragraphedeliste"/>
        <w:numPr>
          <w:ilvl w:val="0"/>
          <w:numId w:val="8"/>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Conseil National de Sécurité,</w:t>
      </w:r>
    </w:p>
    <w:p w14:paraId="4AE58BFE" w14:textId="77777777" w:rsidR="006D3870" w:rsidRPr="00391340" w:rsidRDefault="006D3870" w:rsidP="006D3870">
      <w:pPr>
        <w:pStyle w:val="Titre2"/>
        <w:numPr>
          <w:ilvl w:val="0"/>
          <w:numId w:val="8"/>
        </w:numPr>
        <w:jc w:val="both"/>
        <w:rPr>
          <w:rFonts w:ascii="Times New Roman" w:hAnsi="Times New Roman" w:cs="Times New Roman"/>
          <w:color w:val="auto"/>
          <w:sz w:val="24"/>
          <w:szCs w:val="24"/>
        </w:rPr>
      </w:pPr>
      <w:r w:rsidRPr="00391340">
        <w:rPr>
          <w:rFonts w:ascii="Times New Roman" w:hAnsi="Times New Roman" w:cs="Times New Roman"/>
          <w:color w:val="auto"/>
          <w:sz w:val="24"/>
          <w:szCs w:val="24"/>
        </w:rPr>
        <w:t>Stratégie de la SDS-Sahel</w:t>
      </w:r>
    </w:p>
    <w:p w14:paraId="63386C08" w14:textId="77777777" w:rsidR="00080E5E" w:rsidRPr="004C4A24" w:rsidRDefault="006D3870" w:rsidP="004C4A24">
      <w:pPr>
        <w:pStyle w:val="Titre2"/>
        <w:numPr>
          <w:ilvl w:val="0"/>
          <w:numId w:val="8"/>
        </w:numPr>
        <w:jc w:val="both"/>
        <w:rPr>
          <w:rFonts w:ascii="Times New Roman" w:hAnsi="Times New Roman" w:cs="Times New Roman"/>
          <w:color w:val="auto"/>
          <w:sz w:val="24"/>
          <w:szCs w:val="24"/>
        </w:rPr>
      </w:pPr>
      <w:r w:rsidRPr="004C4A24">
        <w:rPr>
          <w:rFonts w:ascii="Times New Roman" w:hAnsi="Times New Roman" w:cs="Times New Roman"/>
          <w:color w:val="auto"/>
          <w:sz w:val="24"/>
          <w:szCs w:val="24"/>
        </w:rPr>
        <w:t>Forces de sécurité publique dont </w:t>
      </w:r>
      <w:r w:rsidR="004C4A24" w:rsidRPr="004C4A24">
        <w:rPr>
          <w:rFonts w:ascii="Times New Roman" w:hAnsi="Times New Roman" w:cs="Times New Roman"/>
          <w:color w:val="auto"/>
          <w:sz w:val="24"/>
          <w:szCs w:val="24"/>
        </w:rPr>
        <w:t xml:space="preserve">(i) </w:t>
      </w:r>
      <w:r w:rsidRPr="004C4A24">
        <w:rPr>
          <w:rFonts w:ascii="Times New Roman" w:hAnsi="Times New Roman" w:cs="Times New Roman"/>
          <w:color w:val="auto"/>
          <w:sz w:val="24"/>
          <w:szCs w:val="24"/>
        </w:rPr>
        <w:t>Forces Armées Nigériennes (FAN)</w:t>
      </w:r>
      <w:r w:rsidR="00080E5E" w:rsidRPr="004C4A24">
        <w:rPr>
          <w:rFonts w:ascii="Times New Roman" w:hAnsi="Times New Roman" w:cs="Times New Roman"/>
          <w:color w:val="auto"/>
          <w:sz w:val="24"/>
          <w:szCs w:val="24"/>
        </w:rPr>
        <w:t>,</w:t>
      </w:r>
      <w:r w:rsidR="004C4A24" w:rsidRPr="004C4A24">
        <w:rPr>
          <w:rFonts w:ascii="Times New Roman" w:hAnsi="Times New Roman" w:cs="Times New Roman"/>
          <w:color w:val="auto"/>
          <w:sz w:val="24"/>
          <w:szCs w:val="24"/>
        </w:rPr>
        <w:t xml:space="preserve"> (ii) </w:t>
      </w:r>
      <w:r w:rsidR="00080E5E" w:rsidRPr="004C4A24">
        <w:rPr>
          <w:rFonts w:ascii="Times New Roman" w:hAnsi="Times New Roman" w:cs="Times New Roman"/>
          <w:color w:val="auto"/>
          <w:sz w:val="24"/>
          <w:szCs w:val="24"/>
        </w:rPr>
        <w:t>Police Nationale (PN)</w:t>
      </w:r>
      <w:r w:rsidR="004C4A24" w:rsidRPr="004C4A24">
        <w:rPr>
          <w:rFonts w:ascii="Times New Roman" w:hAnsi="Times New Roman" w:cs="Times New Roman"/>
          <w:color w:val="auto"/>
          <w:sz w:val="24"/>
          <w:szCs w:val="24"/>
        </w:rPr>
        <w:t xml:space="preserve">, (iii) </w:t>
      </w:r>
      <w:r w:rsidR="00080E5E" w:rsidRPr="004C4A24">
        <w:rPr>
          <w:rFonts w:ascii="Times New Roman" w:hAnsi="Times New Roman" w:cs="Times New Roman"/>
          <w:color w:val="auto"/>
          <w:sz w:val="24"/>
          <w:szCs w:val="24"/>
        </w:rPr>
        <w:t>Gendarmerie Nationale</w:t>
      </w:r>
      <w:r w:rsidR="00F210B6">
        <w:rPr>
          <w:rFonts w:ascii="Times New Roman" w:hAnsi="Times New Roman" w:cs="Times New Roman"/>
          <w:color w:val="auto"/>
          <w:sz w:val="24"/>
          <w:szCs w:val="24"/>
        </w:rPr>
        <w:t xml:space="preserve"> (GN)</w:t>
      </w:r>
      <w:r w:rsidR="004C4A24" w:rsidRPr="004C4A24">
        <w:rPr>
          <w:rFonts w:ascii="Times New Roman" w:hAnsi="Times New Roman" w:cs="Times New Roman"/>
          <w:color w:val="auto"/>
          <w:sz w:val="24"/>
          <w:szCs w:val="24"/>
        </w:rPr>
        <w:t xml:space="preserve">, (iv) </w:t>
      </w:r>
      <w:r w:rsidR="00080E5E" w:rsidRPr="004C4A24">
        <w:rPr>
          <w:rFonts w:ascii="Times New Roman" w:hAnsi="Times New Roman" w:cs="Times New Roman"/>
          <w:color w:val="auto"/>
          <w:sz w:val="24"/>
          <w:szCs w:val="24"/>
        </w:rPr>
        <w:t>Garde Nationale du Niger</w:t>
      </w:r>
      <w:r w:rsidR="004C4A24" w:rsidRPr="004C4A24">
        <w:rPr>
          <w:rFonts w:ascii="Times New Roman" w:hAnsi="Times New Roman" w:cs="Times New Roman"/>
          <w:color w:val="auto"/>
          <w:sz w:val="24"/>
          <w:szCs w:val="24"/>
        </w:rPr>
        <w:t xml:space="preserve"> </w:t>
      </w:r>
      <w:r w:rsidR="00F210B6">
        <w:rPr>
          <w:rFonts w:ascii="Times New Roman" w:hAnsi="Times New Roman" w:cs="Times New Roman"/>
          <w:color w:val="auto"/>
          <w:sz w:val="24"/>
          <w:szCs w:val="24"/>
        </w:rPr>
        <w:t xml:space="preserve">(GNN) </w:t>
      </w:r>
      <w:r w:rsidR="004C4A24" w:rsidRPr="004C4A24">
        <w:rPr>
          <w:rFonts w:ascii="Times New Roman" w:hAnsi="Times New Roman" w:cs="Times New Roman"/>
          <w:color w:val="auto"/>
          <w:sz w:val="24"/>
          <w:szCs w:val="24"/>
        </w:rPr>
        <w:t xml:space="preserve">et (v) </w:t>
      </w:r>
      <w:r w:rsidR="00080E5E" w:rsidRPr="004C4A24">
        <w:rPr>
          <w:rFonts w:ascii="Times New Roman" w:hAnsi="Times New Roman" w:cs="Times New Roman"/>
          <w:color w:val="auto"/>
          <w:sz w:val="24"/>
          <w:szCs w:val="24"/>
        </w:rPr>
        <w:t>Groupement National des Sapeurs-Pompiers et compagnies de sapeurs-pompiers</w:t>
      </w:r>
    </w:p>
    <w:p w14:paraId="06956A2B" w14:textId="77777777" w:rsidR="006D3870" w:rsidRPr="00391340" w:rsidRDefault="00080E5E" w:rsidP="003E5192">
      <w:pPr>
        <w:pStyle w:val="Paragraphedeliste"/>
        <w:numPr>
          <w:ilvl w:val="0"/>
          <w:numId w:val="8"/>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Les services de sécurité privée notamment de gardiennage et de protection</w:t>
      </w:r>
    </w:p>
    <w:p w14:paraId="2D169F61" w14:textId="77777777" w:rsidR="00080E5E" w:rsidRPr="00391340" w:rsidRDefault="00080E5E" w:rsidP="00080E5E">
      <w:pPr>
        <w:pStyle w:val="Titre2"/>
        <w:ind w:left="1069"/>
        <w:jc w:val="both"/>
        <w:rPr>
          <w:rFonts w:ascii="Times New Roman" w:hAnsi="Times New Roman" w:cs="Times New Roman"/>
          <w:color w:val="auto"/>
          <w:sz w:val="24"/>
          <w:szCs w:val="24"/>
        </w:rPr>
      </w:pPr>
      <w:bookmarkStart w:id="35" w:name="_Toc82902516"/>
      <w:bookmarkStart w:id="36" w:name="_Toc100399117"/>
      <w:r w:rsidRPr="00593D57">
        <w:rPr>
          <w:rFonts w:ascii="Times New Roman" w:hAnsi="Times New Roman" w:cs="Times New Roman"/>
          <w:b/>
          <w:color w:val="auto"/>
          <w:sz w:val="24"/>
          <w:szCs w:val="24"/>
        </w:rPr>
        <w:t>4.2</w:t>
      </w:r>
      <w:r w:rsidRPr="00391340">
        <w:rPr>
          <w:rFonts w:ascii="Times New Roman" w:hAnsi="Times New Roman" w:cs="Times New Roman"/>
          <w:color w:val="auto"/>
          <w:sz w:val="24"/>
          <w:szCs w:val="24"/>
        </w:rPr>
        <w:t xml:space="preserve"> </w:t>
      </w:r>
      <w:bookmarkEnd w:id="35"/>
      <w:r w:rsidRPr="00391340">
        <w:rPr>
          <w:rFonts w:ascii="Times New Roman" w:hAnsi="Times New Roman" w:cs="Times New Roman"/>
          <w:b/>
          <w:color w:val="auto"/>
          <w:sz w:val="24"/>
          <w:szCs w:val="24"/>
        </w:rPr>
        <w:t>Cadre sous-régional</w:t>
      </w:r>
      <w:bookmarkEnd w:id="36"/>
    </w:p>
    <w:p w14:paraId="57ED2913" w14:textId="77777777" w:rsidR="00C23DFB" w:rsidRPr="00391340" w:rsidRDefault="00946E7A" w:rsidP="00C23DFB">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L</w:t>
      </w:r>
      <w:r w:rsidR="00C23DFB" w:rsidRPr="00391340">
        <w:rPr>
          <w:rFonts w:ascii="Times New Roman" w:hAnsi="Times New Roman" w:cs="Times New Roman"/>
          <w:sz w:val="24"/>
          <w:szCs w:val="24"/>
        </w:rPr>
        <w:t>a situation du cadre de coopération sous-régional et international en matière de sécurité au Niger se présente comme suit :</w:t>
      </w:r>
    </w:p>
    <w:p w14:paraId="404D99C4" w14:textId="77777777"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G5 Sahel formé par les cinq pays (Mali, Mauritanie, Tchad, Burkina Faso et Niger) en vue de lutter contre le terrorisme mais qui n’a pas encore eu le financement requi</w:t>
      </w:r>
      <w:r w:rsidR="00F210B6">
        <w:rPr>
          <w:rFonts w:ascii="Times New Roman" w:hAnsi="Times New Roman" w:cs="Times New Roman"/>
          <w:sz w:val="24"/>
          <w:szCs w:val="24"/>
        </w:rPr>
        <w:t>s</w:t>
      </w:r>
      <w:r w:rsidRPr="00391340">
        <w:rPr>
          <w:rFonts w:ascii="Times New Roman" w:hAnsi="Times New Roman" w:cs="Times New Roman"/>
          <w:sz w:val="24"/>
          <w:szCs w:val="24"/>
        </w:rPr>
        <w:t xml:space="preserve">.  </w:t>
      </w:r>
    </w:p>
    <w:p w14:paraId="7C10C233" w14:textId="77777777"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Mission EUCAP Sahel Niger financée par l’Union Européenne et composée d’experts provenant de plusieurs pays de l’Union européenne en vue de promouvoir la notion de « Capacity building » pour permettre le renforcement des capacités des forces de défense et de sécurité nigériennes dans le cadre de la lutte contre le terrorisme et la criminalité organisée. </w:t>
      </w:r>
    </w:p>
    <w:p w14:paraId="29F7221A" w14:textId="77777777"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Opération Barkhane, conduite par la France au Mali et plus tard dans les autres pays du Sahel depuis 2014. Elle repose sur une approche stratégique fondée sur une logique de partenariat avec les principaux pays de la bande sahélo-saharienne. </w:t>
      </w:r>
      <w:r w:rsidRPr="00391340">
        <w:rPr>
          <w:rFonts w:ascii="Times New Roman" w:hAnsi="Times New Roman" w:cs="Times New Roman"/>
          <w:b/>
          <w:bCs/>
          <w:sz w:val="24"/>
          <w:szCs w:val="24"/>
        </w:rPr>
        <w:t xml:space="preserve">Après plusieurs tentatives de réorganisation, elle est en cours </w:t>
      </w:r>
      <w:r w:rsidRPr="00391340">
        <w:rPr>
          <w:rFonts w:ascii="Times New Roman" w:hAnsi="Times New Roman" w:cs="Times New Roman"/>
          <w:b/>
          <w:bCs/>
          <w:sz w:val="24"/>
          <w:szCs w:val="24"/>
        </w:rPr>
        <w:lastRenderedPageBreak/>
        <w:t>d’achèvement et de redéploiement vers le Niger et les pays du golfe de Guinée qui enregistrent leurs premiers incidents terroristes</w:t>
      </w:r>
      <w:r w:rsidRPr="00391340">
        <w:rPr>
          <w:rFonts w:ascii="Times New Roman" w:hAnsi="Times New Roman" w:cs="Times New Roman"/>
          <w:sz w:val="24"/>
          <w:szCs w:val="24"/>
        </w:rPr>
        <w:t>.</w:t>
      </w:r>
    </w:p>
    <w:p w14:paraId="08E417CA" w14:textId="77777777"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Force Takuba, initiée également au Mali par la France mais devant regrouper une dizaine de pays européens en vue d’aider à mieux former les soldats de la sous-région.</w:t>
      </w:r>
    </w:p>
    <w:p w14:paraId="317159C7" w14:textId="0175CC32"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Coopération russe avec l’armée malienne</w:t>
      </w:r>
      <w:r w:rsidR="0013174E">
        <w:rPr>
          <w:rFonts w:ascii="Times New Roman" w:hAnsi="Times New Roman" w:cs="Times New Roman"/>
          <w:sz w:val="24"/>
          <w:szCs w:val="24"/>
        </w:rPr>
        <w:t>.</w:t>
      </w:r>
      <w:r w:rsidR="004377DD">
        <w:rPr>
          <w:rFonts w:ascii="Times New Roman" w:hAnsi="Times New Roman" w:cs="Times New Roman"/>
          <w:sz w:val="24"/>
          <w:szCs w:val="24"/>
        </w:rPr>
        <w:t xml:space="preserve"> </w:t>
      </w:r>
      <w:r w:rsidRPr="00391340">
        <w:rPr>
          <w:rFonts w:ascii="Times New Roman" w:hAnsi="Times New Roman" w:cs="Times New Roman"/>
          <w:sz w:val="24"/>
          <w:szCs w:val="24"/>
        </w:rPr>
        <w:t>Cette coopération d’installation assez récente (2022) est en cours de déploiement dans les zones centre et nord du mali.</w:t>
      </w:r>
    </w:p>
    <w:p w14:paraId="648E0660" w14:textId="77777777" w:rsidR="00C23DFB" w:rsidRPr="00391340" w:rsidRDefault="00C23DFB" w:rsidP="00C23DFB">
      <w:pPr>
        <w:numPr>
          <w:ilvl w:val="0"/>
          <w:numId w:val="10"/>
        </w:num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Plusieurs coopérations bilatérales notamment italienne, allemande, canadienne, Danoise, appuient le Groupe Danois de Déminage.</w:t>
      </w:r>
    </w:p>
    <w:p w14:paraId="37977DF9" w14:textId="77777777" w:rsidR="003366FC" w:rsidRPr="00391340" w:rsidRDefault="00946E7A" w:rsidP="003366FC">
      <w:pPr>
        <w:pStyle w:val="Titre1"/>
        <w:spacing w:line="240" w:lineRule="auto"/>
        <w:ind w:left="720"/>
        <w:rPr>
          <w:rFonts w:ascii="Times New Roman" w:hAnsi="Times New Roman" w:cs="Times New Roman"/>
          <w:b/>
          <w:smallCaps/>
          <w:color w:val="auto"/>
          <w:sz w:val="24"/>
          <w:szCs w:val="24"/>
        </w:rPr>
      </w:pPr>
      <w:bookmarkStart w:id="37" w:name="_Toc100399118"/>
      <w:r>
        <w:rPr>
          <w:rFonts w:ascii="Times New Roman" w:hAnsi="Times New Roman" w:cs="Times New Roman"/>
          <w:b/>
          <w:smallCaps/>
          <w:color w:val="auto"/>
          <w:sz w:val="24"/>
          <w:szCs w:val="24"/>
        </w:rPr>
        <w:t>5</w:t>
      </w:r>
      <w:r w:rsidR="003366FC" w:rsidRPr="00391340">
        <w:rPr>
          <w:rFonts w:ascii="Times New Roman" w:hAnsi="Times New Roman" w:cs="Times New Roman"/>
          <w:b/>
          <w:smallCaps/>
          <w:color w:val="auto"/>
          <w:sz w:val="24"/>
          <w:szCs w:val="24"/>
        </w:rPr>
        <w:t>. Procédures à appliquer comme mesures sécuritaires</w:t>
      </w:r>
      <w:bookmarkEnd w:id="37"/>
    </w:p>
    <w:p w14:paraId="49C87EEA" w14:textId="77777777" w:rsidR="00B5616A" w:rsidRPr="00391340" w:rsidRDefault="00B5616A" w:rsidP="00B5616A">
      <w:pPr>
        <w:spacing w:after="120" w:line="240" w:lineRule="auto"/>
        <w:ind w:left="709"/>
        <w:jc w:val="both"/>
        <w:rPr>
          <w:rFonts w:ascii="Times New Roman" w:hAnsi="Times New Roman" w:cs="Times New Roman"/>
          <w:sz w:val="24"/>
          <w:szCs w:val="24"/>
        </w:rPr>
      </w:pPr>
      <w:r w:rsidRPr="00391340">
        <w:rPr>
          <w:rFonts w:ascii="Times New Roman" w:hAnsi="Times New Roman" w:cs="Times New Roman"/>
          <w:sz w:val="24"/>
          <w:szCs w:val="24"/>
        </w:rPr>
        <w:t xml:space="preserve">Les procédures générales de sécurité à appliquer dans le cadre du PISEN portent sur la Prévention et la Protection et s’articulent autour des actions suivantes : </w:t>
      </w:r>
    </w:p>
    <w:p w14:paraId="2BB9BF76" w14:textId="77777777" w:rsidR="00B5616A" w:rsidRPr="00391340" w:rsidRDefault="00B5616A" w:rsidP="00B5616A">
      <w:pPr>
        <w:pStyle w:val="Paragraphedeliste"/>
        <w:numPr>
          <w:ilvl w:val="0"/>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Les mesures de prévention et directives générales dont :</w:t>
      </w:r>
    </w:p>
    <w:p w14:paraId="0FF2CD4A" w14:textId="77777777" w:rsidR="00B5616A" w:rsidRPr="00391340" w:rsidRDefault="00B5616A"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une Veille sécuritaire,</w:t>
      </w:r>
    </w:p>
    <w:p w14:paraId="70BA44EE" w14:textId="77777777" w:rsidR="00B5616A" w:rsidRPr="00391340" w:rsidRDefault="00B5616A"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des actions de Sensibilisation, Formation et renforcement des capacités.</w:t>
      </w:r>
    </w:p>
    <w:p w14:paraId="34F34F61" w14:textId="77777777" w:rsidR="00B5616A" w:rsidRPr="00391340" w:rsidRDefault="00B5616A" w:rsidP="00B5616A">
      <w:pPr>
        <w:pStyle w:val="Paragraphedeliste"/>
        <w:numPr>
          <w:ilvl w:val="0"/>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Mesures et moyens de Protection comprenant :</w:t>
      </w:r>
    </w:p>
    <w:p w14:paraId="75390BE2" w14:textId="77777777" w:rsidR="00B5616A" w:rsidRPr="00391340" w:rsidRDefault="00B5616A"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 xml:space="preserve">un </w:t>
      </w:r>
      <w:r w:rsidR="004B074D" w:rsidRPr="00391340">
        <w:rPr>
          <w:rFonts w:ascii="Times New Roman" w:hAnsi="Times New Roman" w:cs="Times New Roman"/>
          <w:sz w:val="24"/>
          <w:szCs w:val="24"/>
        </w:rPr>
        <w:t>d</w:t>
      </w:r>
      <w:r w:rsidRPr="00391340">
        <w:rPr>
          <w:rFonts w:ascii="Times New Roman" w:hAnsi="Times New Roman" w:cs="Times New Roman"/>
          <w:sz w:val="24"/>
          <w:szCs w:val="24"/>
        </w:rPr>
        <w:t>ispositif de protection des ressources humaines et matérielles du PISEN en réduisant leur vulnérabilité au risque potentiel d’attaque et d’enlèvement</w:t>
      </w:r>
      <w:r w:rsidR="004B074D" w:rsidRPr="00391340">
        <w:rPr>
          <w:rFonts w:ascii="Times New Roman" w:hAnsi="Times New Roman" w:cs="Times New Roman"/>
          <w:sz w:val="24"/>
          <w:szCs w:val="24"/>
        </w:rPr>
        <w:t> ;</w:t>
      </w:r>
    </w:p>
    <w:p w14:paraId="2889E087" w14:textId="77777777" w:rsidR="00B5616A" w:rsidRPr="00391340" w:rsidRDefault="004B074D"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des mesures de protection des locaux (siège national, antennes régionales…) et ;</w:t>
      </w:r>
    </w:p>
    <w:p w14:paraId="4C776599" w14:textId="77777777" w:rsidR="004B074D" w:rsidRPr="00391340" w:rsidRDefault="004B074D"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des mesures de protection des déplacements (fixation des heures de déplacement en fonction de niveau sécurité de la zone) et ;</w:t>
      </w:r>
    </w:p>
    <w:p w14:paraId="1B816E29" w14:textId="77777777" w:rsidR="004B074D" w:rsidRPr="00391340" w:rsidRDefault="004B074D" w:rsidP="00B5616A">
      <w:pPr>
        <w:pStyle w:val="Paragraphedeliste"/>
        <w:numPr>
          <w:ilvl w:val="1"/>
          <w:numId w:val="15"/>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des mesures de protection des sites d’intervention (élaboration d’une cartographie des risques et intégration de consignes de sécurité dans le contrat/convention des Entreprises et autres prestataires en fonction du niveau de risque).</w:t>
      </w:r>
    </w:p>
    <w:p w14:paraId="4F6BCAA0" w14:textId="77777777" w:rsidR="00BA4DA0" w:rsidRPr="00391340" w:rsidRDefault="009D4812" w:rsidP="009D4812">
      <w:p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En plus des mesures générales de sécurité, présentées ci-dessus, le PGS décrit également des mesures de sécurité spécifiques à certaines situations notamment :</w:t>
      </w:r>
    </w:p>
    <w:p w14:paraId="75492AA6" w14:textId="77777777" w:rsidR="009D4812" w:rsidRPr="00391340" w:rsidRDefault="006D32D1" w:rsidP="009D4812">
      <w:pPr>
        <w:pStyle w:val="Paragraphedeliste"/>
        <w:numPr>
          <w:ilvl w:val="0"/>
          <w:numId w:val="16"/>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mesures pour la Gestion de la Communication et,</w:t>
      </w:r>
    </w:p>
    <w:p w14:paraId="12F609EF" w14:textId="77777777" w:rsidR="006D32D1" w:rsidRPr="00391340" w:rsidRDefault="006D32D1" w:rsidP="009D4812">
      <w:pPr>
        <w:pStyle w:val="Paragraphedeliste"/>
        <w:numPr>
          <w:ilvl w:val="0"/>
          <w:numId w:val="16"/>
        </w:numPr>
        <w:spacing w:after="120" w:line="240" w:lineRule="auto"/>
        <w:jc w:val="both"/>
        <w:rPr>
          <w:rFonts w:ascii="Times New Roman" w:hAnsi="Times New Roman" w:cs="Times New Roman"/>
          <w:sz w:val="24"/>
          <w:szCs w:val="24"/>
        </w:rPr>
      </w:pPr>
      <w:r w:rsidRPr="00391340">
        <w:rPr>
          <w:rFonts w:ascii="Times New Roman" w:hAnsi="Times New Roman" w:cs="Times New Roman"/>
          <w:sz w:val="24"/>
          <w:szCs w:val="24"/>
        </w:rPr>
        <w:t>mesures en cas de situation d’urgence médicale</w:t>
      </w:r>
    </w:p>
    <w:p w14:paraId="03E7D165" w14:textId="77777777" w:rsidR="00B02C90" w:rsidRPr="00391340" w:rsidRDefault="00946E7A" w:rsidP="00B02C90">
      <w:pPr>
        <w:pStyle w:val="Titre1"/>
        <w:spacing w:line="360" w:lineRule="auto"/>
        <w:ind w:left="720"/>
        <w:rPr>
          <w:rFonts w:ascii="Times New Roman" w:hAnsi="Times New Roman" w:cs="Times New Roman"/>
          <w:b/>
          <w:smallCaps/>
          <w:color w:val="auto"/>
          <w:sz w:val="24"/>
          <w:szCs w:val="24"/>
        </w:rPr>
      </w:pPr>
      <w:bookmarkStart w:id="38" w:name="_Toc100399137"/>
      <w:r>
        <w:rPr>
          <w:rFonts w:ascii="Times New Roman" w:hAnsi="Times New Roman" w:cs="Times New Roman"/>
          <w:b/>
          <w:smallCaps/>
          <w:color w:val="auto"/>
          <w:sz w:val="24"/>
          <w:szCs w:val="24"/>
        </w:rPr>
        <w:t>6</w:t>
      </w:r>
      <w:r w:rsidR="00B02C90" w:rsidRPr="00391340">
        <w:rPr>
          <w:rFonts w:ascii="Times New Roman" w:hAnsi="Times New Roman" w:cs="Times New Roman"/>
          <w:b/>
          <w:smallCaps/>
          <w:color w:val="auto"/>
          <w:sz w:val="24"/>
          <w:szCs w:val="24"/>
        </w:rPr>
        <w:t>. Principales Orientations de Mise en œuvre des Mesures</w:t>
      </w:r>
      <w:bookmarkEnd w:id="38"/>
    </w:p>
    <w:p w14:paraId="6F58D2AD" w14:textId="77777777" w:rsidR="0055714C" w:rsidRPr="0055714C" w:rsidRDefault="00946E7A" w:rsidP="0055714C">
      <w:pPr>
        <w:keepNext/>
        <w:keepLines/>
        <w:spacing w:before="40" w:after="0"/>
        <w:ind w:firstLine="709"/>
        <w:jc w:val="both"/>
        <w:outlineLvl w:val="1"/>
        <w:rPr>
          <w:rFonts w:ascii="Times New Roman" w:eastAsiaTheme="majorEastAsia" w:hAnsi="Times New Roman" w:cs="Times New Roman"/>
          <w:sz w:val="24"/>
          <w:szCs w:val="24"/>
        </w:rPr>
      </w:pPr>
      <w:bookmarkStart w:id="39" w:name="_Toc100399139"/>
      <w:r w:rsidRPr="00946E7A">
        <w:rPr>
          <w:rFonts w:ascii="Times New Roman" w:eastAsiaTheme="majorEastAsia" w:hAnsi="Times New Roman" w:cs="Times New Roman"/>
          <w:b/>
          <w:sz w:val="24"/>
          <w:szCs w:val="24"/>
        </w:rPr>
        <w:t>6</w:t>
      </w:r>
      <w:r w:rsidR="0055714C" w:rsidRPr="0055714C">
        <w:rPr>
          <w:rFonts w:ascii="Times New Roman" w:eastAsiaTheme="majorEastAsia" w:hAnsi="Times New Roman" w:cs="Times New Roman"/>
          <w:b/>
          <w:sz w:val="24"/>
          <w:szCs w:val="24"/>
        </w:rPr>
        <w:t>.</w:t>
      </w:r>
      <w:r w:rsidR="0055714C" w:rsidRPr="00946E7A">
        <w:rPr>
          <w:rFonts w:ascii="Times New Roman" w:eastAsiaTheme="majorEastAsia" w:hAnsi="Times New Roman" w:cs="Times New Roman"/>
          <w:b/>
          <w:sz w:val="24"/>
          <w:szCs w:val="24"/>
        </w:rPr>
        <w:t>1</w:t>
      </w:r>
      <w:r w:rsidR="0055714C" w:rsidRPr="0055714C">
        <w:rPr>
          <w:rFonts w:ascii="Times New Roman" w:eastAsiaTheme="majorEastAsia" w:hAnsi="Times New Roman" w:cs="Times New Roman"/>
          <w:b/>
          <w:sz w:val="24"/>
          <w:szCs w:val="24"/>
        </w:rPr>
        <w:t xml:space="preserve"> Orientations de mise en</w:t>
      </w:r>
      <w:r w:rsidR="0055714C" w:rsidRPr="0055714C">
        <w:rPr>
          <w:rFonts w:ascii="Times New Roman" w:eastAsiaTheme="majorEastAsia" w:hAnsi="Times New Roman" w:cs="Times New Roman"/>
          <w:sz w:val="24"/>
          <w:szCs w:val="24"/>
        </w:rPr>
        <w:t xml:space="preserve"> œuvre</w:t>
      </w:r>
      <w:bookmarkEnd w:id="39"/>
      <w:r w:rsidR="0055714C" w:rsidRPr="0055714C">
        <w:rPr>
          <w:rFonts w:ascii="Times New Roman" w:eastAsiaTheme="majorEastAsia" w:hAnsi="Times New Roman" w:cs="Times New Roman"/>
          <w:sz w:val="24"/>
          <w:szCs w:val="24"/>
        </w:rPr>
        <w:t xml:space="preserve"> </w:t>
      </w:r>
    </w:p>
    <w:p w14:paraId="3D971F86" w14:textId="77777777" w:rsidR="006910E2" w:rsidRPr="006910E2" w:rsidRDefault="006910E2" w:rsidP="006910E2">
      <w:pPr>
        <w:spacing w:after="120" w:line="240" w:lineRule="auto"/>
        <w:jc w:val="both"/>
        <w:rPr>
          <w:rFonts w:ascii="Times New Roman" w:hAnsi="Times New Roman" w:cs="Times New Roman"/>
          <w:sz w:val="24"/>
          <w:szCs w:val="24"/>
        </w:rPr>
      </w:pPr>
      <w:r w:rsidRPr="006910E2">
        <w:rPr>
          <w:rFonts w:ascii="Times New Roman" w:hAnsi="Times New Roman" w:cs="Times New Roman"/>
          <w:sz w:val="24"/>
          <w:szCs w:val="24"/>
        </w:rPr>
        <w:t>La mise en œuvre des différentes mesures sécuritaires identifiées sur le plan général et spécifique pour le « déroulement normal » des activités du PISEN dans un contexte de tension sécuritaire quasi-permanent dans les régions de Tillabéri et Diffa, requiert un cadre d’orientation fonctionnel et proactif à la hauteur de la menace.</w:t>
      </w:r>
    </w:p>
    <w:p w14:paraId="69A12813" w14:textId="77777777" w:rsidR="006910E2" w:rsidRPr="006910E2" w:rsidRDefault="00357078" w:rsidP="0035707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 projet disposera également de moyens de communications adaptés y compris u</w:t>
      </w:r>
      <w:r w:rsidR="006910E2" w:rsidRPr="006910E2">
        <w:rPr>
          <w:rFonts w:ascii="Times New Roman" w:hAnsi="Times New Roman" w:cs="Times New Roman"/>
          <w:sz w:val="24"/>
          <w:szCs w:val="24"/>
        </w:rPr>
        <w:t>n annuaire téléphonique</w:t>
      </w:r>
      <w:r>
        <w:rPr>
          <w:rFonts w:ascii="Times New Roman" w:hAnsi="Times New Roman" w:cs="Times New Roman"/>
          <w:sz w:val="24"/>
          <w:szCs w:val="24"/>
        </w:rPr>
        <w:t xml:space="preserve"> du personnel clé du projet ainsi que des </w:t>
      </w:r>
      <w:r w:rsidR="006910E2" w:rsidRPr="006910E2">
        <w:rPr>
          <w:rFonts w:ascii="Times New Roman" w:hAnsi="Times New Roman" w:cs="Times New Roman"/>
          <w:sz w:val="24"/>
          <w:szCs w:val="24"/>
        </w:rPr>
        <w:t>autorités administratives (régionales, départementales et communales) des zones d’intervention du projet</w:t>
      </w:r>
      <w:r>
        <w:rPr>
          <w:rFonts w:ascii="Times New Roman" w:hAnsi="Times New Roman" w:cs="Times New Roman"/>
          <w:sz w:val="24"/>
          <w:szCs w:val="24"/>
        </w:rPr>
        <w:t xml:space="preserve">. </w:t>
      </w:r>
      <w:r w:rsidR="006910E2" w:rsidRPr="006910E2">
        <w:rPr>
          <w:rFonts w:ascii="Times New Roman" w:hAnsi="Times New Roman" w:cs="Times New Roman"/>
          <w:sz w:val="24"/>
          <w:szCs w:val="24"/>
        </w:rPr>
        <w:t xml:space="preserve"> </w:t>
      </w:r>
    </w:p>
    <w:p w14:paraId="668B5D48" w14:textId="77777777" w:rsidR="006910E2" w:rsidRPr="00391340" w:rsidRDefault="006910E2" w:rsidP="006910E2">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 xml:space="preserve">Les orientations de mise en œuvre des mesures de sécurité dans la zone du projet sont </w:t>
      </w:r>
      <w:r w:rsidR="00AE44C9" w:rsidRPr="00391340">
        <w:rPr>
          <w:rFonts w:ascii="Times New Roman" w:hAnsi="Times New Roman" w:cs="Times New Roman"/>
          <w:sz w:val="24"/>
          <w:szCs w:val="24"/>
        </w:rPr>
        <w:t>décrites</w:t>
      </w:r>
      <w:r w:rsidRPr="00391340">
        <w:rPr>
          <w:rFonts w:ascii="Times New Roman" w:hAnsi="Times New Roman" w:cs="Times New Roman"/>
          <w:sz w:val="24"/>
          <w:szCs w:val="24"/>
        </w:rPr>
        <w:t xml:space="preserve"> dans trois (03) tableaux </w:t>
      </w:r>
      <w:r w:rsidR="00AE44C9" w:rsidRPr="00391340">
        <w:rPr>
          <w:rFonts w:ascii="Times New Roman" w:hAnsi="Times New Roman" w:cs="Times New Roman"/>
          <w:sz w:val="24"/>
          <w:szCs w:val="24"/>
        </w:rPr>
        <w:t xml:space="preserve">en raison d’un tableau par niveau de </w:t>
      </w:r>
      <w:r w:rsidRPr="00391340">
        <w:rPr>
          <w:rFonts w:ascii="Times New Roman" w:hAnsi="Times New Roman" w:cs="Times New Roman"/>
          <w:sz w:val="24"/>
          <w:szCs w:val="24"/>
        </w:rPr>
        <w:t>risque</w:t>
      </w:r>
      <w:r w:rsidR="00AE44C9" w:rsidRPr="00391340">
        <w:rPr>
          <w:rFonts w:ascii="Times New Roman" w:hAnsi="Times New Roman" w:cs="Times New Roman"/>
          <w:sz w:val="24"/>
          <w:szCs w:val="24"/>
        </w:rPr>
        <w:t>.</w:t>
      </w:r>
    </w:p>
    <w:p w14:paraId="0B868114" w14:textId="77777777" w:rsidR="00316DEA" w:rsidRPr="00391340" w:rsidRDefault="00AE44C9" w:rsidP="006910E2">
      <w:pPr>
        <w:spacing w:after="120" w:line="240" w:lineRule="auto"/>
        <w:contextualSpacing/>
        <w:jc w:val="both"/>
        <w:rPr>
          <w:rFonts w:ascii="Times New Roman" w:hAnsi="Times New Roman" w:cs="Times New Roman"/>
          <w:sz w:val="24"/>
          <w:szCs w:val="24"/>
        </w:rPr>
      </w:pPr>
      <w:r w:rsidRPr="00391340">
        <w:rPr>
          <w:rFonts w:ascii="Times New Roman" w:hAnsi="Times New Roman" w:cs="Times New Roman"/>
          <w:sz w:val="24"/>
          <w:szCs w:val="24"/>
        </w:rPr>
        <w:t>Ainsi</w:t>
      </w:r>
      <w:r w:rsidR="00357078">
        <w:rPr>
          <w:rFonts w:ascii="Times New Roman" w:hAnsi="Times New Roman" w:cs="Times New Roman"/>
          <w:sz w:val="24"/>
          <w:szCs w:val="24"/>
        </w:rPr>
        <w:t>,</w:t>
      </w:r>
      <w:r w:rsidRPr="00391340">
        <w:rPr>
          <w:rFonts w:ascii="Times New Roman" w:hAnsi="Times New Roman" w:cs="Times New Roman"/>
          <w:sz w:val="24"/>
          <w:szCs w:val="24"/>
        </w:rPr>
        <w:t xml:space="preserve"> pour le niveau de risque élevé</w:t>
      </w:r>
      <w:r w:rsidR="00316DEA" w:rsidRPr="00391340">
        <w:rPr>
          <w:rFonts w:ascii="Times New Roman" w:hAnsi="Times New Roman" w:cs="Times New Roman"/>
          <w:sz w:val="24"/>
          <w:szCs w:val="24"/>
        </w:rPr>
        <w:t>, les principales orientations sont relatives à :</w:t>
      </w:r>
    </w:p>
    <w:p w14:paraId="4212A1A6" w14:textId="77777777" w:rsidR="00316DEA" w:rsidRPr="00391340" w:rsidRDefault="00316DEA" w:rsidP="00316DEA">
      <w:pPr>
        <w:pStyle w:val="Paragraphedeliste"/>
        <w:numPr>
          <w:ilvl w:val="0"/>
          <w:numId w:val="18"/>
        </w:numPr>
        <w:spacing w:after="120" w:line="240" w:lineRule="auto"/>
        <w:jc w:val="both"/>
        <w:rPr>
          <w:rFonts w:ascii="Times New Roman" w:hAnsi="Times New Roman" w:cs="Times New Roman"/>
          <w:sz w:val="24"/>
          <w:szCs w:val="24"/>
        </w:rPr>
      </w:pPr>
      <w:r w:rsidRPr="00391340">
        <w:rPr>
          <w:rFonts w:ascii="Times New Roman" w:eastAsia="Times New Roman" w:hAnsi="Times New Roman" w:cs="Times New Roman"/>
          <w:b/>
          <w:bCs/>
          <w:sz w:val="24"/>
          <w:szCs w:val="24"/>
        </w:rPr>
        <w:t>Dispositions de mise en œuvre et de supervision :</w:t>
      </w:r>
    </w:p>
    <w:p w14:paraId="5FD03EC9" w14:textId="77777777" w:rsidR="00316DEA" w:rsidRPr="00391340" w:rsidRDefault="00316DEA" w:rsidP="00316DEA">
      <w:pPr>
        <w:numPr>
          <w:ilvl w:val="0"/>
          <w:numId w:val="19"/>
        </w:numPr>
        <w:tabs>
          <w:tab w:val="clear" w:pos="720"/>
          <w:tab w:val="num" w:pos="204"/>
        </w:tabs>
        <w:ind w:left="211" w:hanging="211"/>
        <w:rPr>
          <w:rFonts w:ascii="Times New Roman" w:eastAsia="Times New Roman" w:hAnsi="Times New Roman" w:cs="Times New Roman"/>
          <w:sz w:val="24"/>
          <w:szCs w:val="24"/>
        </w:rPr>
      </w:pPr>
      <w:r w:rsidRPr="00391340">
        <w:rPr>
          <w:rFonts w:ascii="Times New Roman" w:eastAsia="Times New Roman" w:hAnsi="Times New Roman" w:cs="Times New Roman"/>
          <w:sz w:val="24"/>
          <w:szCs w:val="24"/>
        </w:rPr>
        <w:lastRenderedPageBreak/>
        <w:t>A évaluer des possibilités d'</w:t>
      </w:r>
      <w:r w:rsidRPr="00391340">
        <w:rPr>
          <w:rFonts w:ascii="Times New Roman" w:eastAsia="Times New Roman" w:hAnsi="Times New Roman" w:cs="Times New Roman"/>
          <w:b/>
          <w:bCs/>
          <w:sz w:val="24"/>
          <w:szCs w:val="24"/>
        </w:rPr>
        <w:t>exécution par des tiers </w:t>
      </w:r>
      <w:r w:rsidRPr="00391340">
        <w:rPr>
          <w:rFonts w:ascii="Times New Roman" w:eastAsia="Times New Roman" w:hAnsi="Times New Roman" w:cs="Times New Roman"/>
          <w:sz w:val="24"/>
          <w:szCs w:val="24"/>
        </w:rPr>
        <w:t xml:space="preserve">: ONG locales, internationales, ou agences ONU qui peuvent faciliter l'accès là où le personnel lié au </w:t>
      </w:r>
      <w:r w:rsidRPr="00593D57">
        <w:rPr>
          <w:rFonts w:ascii="Times New Roman" w:eastAsia="Times New Roman" w:hAnsi="Times New Roman" w:cs="Times New Roman"/>
          <w:sz w:val="24"/>
          <w:szCs w:val="24"/>
        </w:rPr>
        <w:t>gouvernement</w:t>
      </w:r>
      <w:r w:rsidRPr="00391340">
        <w:rPr>
          <w:rFonts w:ascii="Times New Roman" w:eastAsia="Times New Roman" w:hAnsi="Times New Roman" w:cs="Times New Roman"/>
          <w:sz w:val="24"/>
          <w:szCs w:val="24"/>
        </w:rPr>
        <w:t xml:space="preserve"> </w:t>
      </w:r>
      <w:r w:rsidR="00F26388">
        <w:rPr>
          <w:rFonts w:ascii="Times New Roman" w:eastAsia="Times New Roman" w:hAnsi="Times New Roman" w:cs="Times New Roman"/>
          <w:sz w:val="24"/>
          <w:szCs w:val="24"/>
        </w:rPr>
        <w:t xml:space="preserve"> </w:t>
      </w:r>
      <w:r w:rsidRPr="00391340">
        <w:rPr>
          <w:rFonts w:ascii="Times New Roman" w:eastAsia="Times New Roman" w:hAnsi="Times New Roman" w:cs="Times New Roman"/>
          <w:sz w:val="24"/>
          <w:szCs w:val="24"/>
        </w:rPr>
        <w:t>ne peut pas aller.</w:t>
      </w:r>
    </w:p>
    <w:p w14:paraId="53058AEC" w14:textId="77777777" w:rsidR="00316DEA" w:rsidRPr="00391340" w:rsidRDefault="00316DEA" w:rsidP="00316DEA">
      <w:pPr>
        <w:numPr>
          <w:ilvl w:val="0"/>
          <w:numId w:val="19"/>
        </w:numPr>
        <w:tabs>
          <w:tab w:val="clear" w:pos="720"/>
          <w:tab w:val="num" w:pos="204"/>
        </w:tabs>
        <w:ind w:left="211" w:hanging="211"/>
        <w:rPr>
          <w:rFonts w:ascii="Times New Roman" w:eastAsia="Times New Roman" w:hAnsi="Times New Roman" w:cs="Times New Roman"/>
          <w:sz w:val="24"/>
          <w:szCs w:val="24"/>
        </w:rPr>
      </w:pPr>
      <w:r w:rsidRPr="00391340">
        <w:rPr>
          <w:rFonts w:ascii="Times New Roman" w:eastAsia="Times New Roman" w:hAnsi="Times New Roman" w:cs="Times New Roman"/>
          <w:sz w:val="24"/>
          <w:szCs w:val="24"/>
        </w:rPr>
        <w:t>Dépendance aux arrangements avec les organisations communautaires formelles et semi-formelles pour fournir une assistance.</w:t>
      </w:r>
    </w:p>
    <w:p w14:paraId="16AF5AC6" w14:textId="77777777" w:rsidR="00AE44C9" w:rsidRPr="00391340" w:rsidRDefault="00316DEA" w:rsidP="00316DEA">
      <w:pPr>
        <w:numPr>
          <w:ilvl w:val="0"/>
          <w:numId w:val="19"/>
        </w:numPr>
        <w:tabs>
          <w:tab w:val="clear" w:pos="720"/>
          <w:tab w:val="num" w:pos="204"/>
        </w:tabs>
        <w:spacing w:after="120" w:line="240" w:lineRule="auto"/>
        <w:ind w:left="211" w:hanging="211"/>
        <w:jc w:val="both"/>
        <w:rPr>
          <w:rFonts w:ascii="Times New Roman" w:hAnsi="Times New Roman" w:cs="Times New Roman"/>
          <w:sz w:val="24"/>
          <w:szCs w:val="24"/>
        </w:rPr>
      </w:pPr>
      <w:r w:rsidRPr="00391340">
        <w:rPr>
          <w:rFonts w:ascii="Times New Roman" w:eastAsia="Times New Roman" w:hAnsi="Times New Roman" w:cs="Times New Roman"/>
          <w:sz w:val="24"/>
          <w:szCs w:val="24"/>
        </w:rPr>
        <w:t>TPM GEMS</w:t>
      </w:r>
      <w:r w:rsidR="00AE44C9" w:rsidRPr="00391340">
        <w:rPr>
          <w:rFonts w:ascii="Times New Roman" w:hAnsi="Times New Roman" w:cs="Times New Roman"/>
          <w:sz w:val="24"/>
          <w:szCs w:val="24"/>
        </w:rPr>
        <w:t xml:space="preserve"> </w:t>
      </w:r>
    </w:p>
    <w:p w14:paraId="603A2C01" w14:textId="77777777" w:rsidR="00316DEA" w:rsidRPr="00391340" w:rsidRDefault="00316DEA" w:rsidP="00316DEA">
      <w:pPr>
        <w:pStyle w:val="Paragraphedeliste"/>
        <w:numPr>
          <w:ilvl w:val="0"/>
          <w:numId w:val="18"/>
        </w:numPr>
        <w:spacing w:after="120" w:line="240" w:lineRule="auto"/>
        <w:jc w:val="both"/>
        <w:rPr>
          <w:rFonts w:ascii="Times New Roman" w:eastAsia="Times New Roman" w:hAnsi="Times New Roman" w:cs="Times New Roman"/>
          <w:b/>
          <w:bCs/>
          <w:sz w:val="24"/>
          <w:szCs w:val="24"/>
        </w:rPr>
      </w:pPr>
      <w:r w:rsidRPr="00391340">
        <w:rPr>
          <w:rFonts w:ascii="Times New Roman" w:eastAsia="Times New Roman" w:hAnsi="Times New Roman" w:cs="Times New Roman"/>
          <w:b/>
          <w:bCs/>
          <w:sz w:val="24"/>
          <w:szCs w:val="24"/>
        </w:rPr>
        <w:t>Gestion et atténuation des risques (y compris les instruments CES) :</w:t>
      </w:r>
    </w:p>
    <w:p w14:paraId="32B7068B" w14:textId="77777777" w:rsidR="00316DEA" w:rsidRPr="00391340" w:rsidRDefault="00316DEA" w:rsidP="00316DEA">
      <w:pPr>
        <w:numPr>
          <w:ilvl w:val="0"/>
          <w:numId w:val="19"/>
        </w:numPr>
        <w:tabs>
          <w:tab w:val="clear" w:pos="720"/>
          <w:tab w:val="num" w:pos="204"/>
        </w:tabs>
        <w:ind w:left="211" w:hanging="211"/>
        <w:rPr>
          <w:rFonts w:ascii="Times New Roman" w:eastAsia="Times New Roman" w:hAnsi="Times New Roman" w:cs="Times New Roman"/>
          <w:sz w:val="24"/>
          <w:szCs w:val="24"/>
        </w:rPr>
      </w:pPr>
      <w:r w:rsidRPr="00391340">
        <w:rPr>
          <w:rFonts w:ascii="Times New Roman" w:eastAsia="Times New Roman" w:hAnsi="Times New Roman" w:cs="Times New Roman"/>
          <w:b/>
          <w:bCs/>
          <w:sz w:val="24"/>
          <w:szCs w:val="24"/>
        </w:rPr>
        <w:t>Suspension partielle / temporaire du projet </w:t>
      </w:r>
      <w:r w:rsidRPr="00391340">
        <w:rPr>
          <w:rFonts w:ascii="Times New Roman" w:eastAsia="Times New Roman" w:hAnsi="Times New Roman" w:cs="Times New Roman"/>
          <w:sz w:val="24"/>
          <w:szCs w:val="24"/>
        </w:rPr>
        <w:t>pour retrait à court terme avec ouverture à se réengager lorsque les conditions seront améliorées ou le cas échéant à proposer d’autres sites pour l’implantation du projet</w:t>
      </w:r>
    </w:p>
    <w:p w14:paraId="3282D6B7" w14:textId="77777777" w:rsidR="00316DEA" w:rsidRPr="00391340" w:rsidRDefault="00316DEA" w:rsidP="00316DEA">
      <w:pPr>
        <w:numPr>
          <w:ilvl w:val="0"/>
          <w:numId w:val="19"/>
        </w:numPr>
        <w:tabs>
          <w:tab w:val="clear" w:pos="720"/>
          <w:tab w:val="num" w:pos="204"/>
        </w:tabs>
        <w:ind w:left="211" w:hanging="211"/>
        <w:rPr>
          <w:rFonts w:ascii="Times New Roman" w:eastAsia="Times New Roman" w:hAnsi="Times New Roman" w:cs="Times New Roman"/>
          <w:sz w:val="24"/>
          <w:szCs w:val="24"/>
        </w:rPr>
      </w:pPr>
      <w:r w:rsidRPr="00391340">
        <w:rPr>
          <w:rFonts w:ascii="Times New Roman" w:eastAsia="Times New Roman" w:hAnsi="Times New Roman" w:cs="Times New Roman"/>
          <w:sz w:val="24"/>
          <w:szCs w:val="24"/>
        </w:rPr>
        <w:t>Accord sur les </w:t>
      </w:r>
      <w:r w:rsidRPr="00391340">
        <w:rPr>
          <w:rFonts w:ascii="Times New Roman" w:eastAsia="Times New Roman" w:hAnsi="Times New Roman" w:cs="Times New Roman"/>
          <w:b/>
          <w:bCs/>
          <w:sz w:val="24"/>
          <w:szCs w:val="24"/>
        </w:rPr>
        <w:t>critères de réengagement </w:t>
      </w:r>
      <w:r w:rsidRPr="00391340">
        <w:rPr>
          <w:rFonts w:ascii="Times New Roman" w:eastAsia="Times New Roman" w:hAnsi="Times New Roman" w:cs="Times New Roman"/>
          <w:sz w:val="24"/>
          <w:szCs w:val="24"/>
        </w:rPr>
        <w:t>(décisions au niveau de la partie nigérienne et informer la partie Banque mondiale).</w:t>
      </w:r>
    </w:p>
    <w:p w14:paraId="60740A9D" w14:textId="77777777" w:rsidR="0055714C" w:rsidRPr="00391340" w:rsidRDefault="00316DEA" w:rsidP="0055714C">
      <w:pPr>
        <w:numPr>
          <w:ilvl w:val="0"/>
          <w:numId w:val="19"/>
        </w:numPr>
        <w:tabs>
          <w:tab w:val="clear" w:pos="720"/>
          <w:tab w:val="num" w:pos="204"/>
        </w:tabs>
        <w:ind w:left="211" w:hanging="211"/>
        <w:rPr>
          <w:rFonts w:ascii="Times New Roman" w:eastAsia="Times New Roman" w:hAnsi="Times New Roman" w:cs="Times New Roman"/>
          <w:sz w:val="24"/>
          <w:szCs w:val="24"/>
        </w:rPr>
      </w:pPr>
      <w:r w:rsidRPr="00391340">
        <w:rPr>
          <w:rFonts w:ascii="Times New Roman" w:eastAsia="Times New Roman" w:hAnsi="Times New Roman" w:cs="Times New Roman"/>
          <w:sz w:val="24"/>
          <w:szCs w:val="24"/>
        </w:rPr>
        <w:t>Mise en place du comité de gestion de crise avec le gouvernement (décisions au niveau des directeurs).</w:t>
      </w:r>
    </w:p>
    <w:p w14:paraId="5EC80499" w14:textId="77777777" w:rsidR="0055714C" w:rsidRPr="0057437B" w:rsidRDefault="00946E7A" w:rsidP="0055714C">
      <w:pPr>
        <w:pStyle w:val="Titre2"/>
        <w:ind w:left="720"/>
        <w:jc w:val="both"/>
        <w:rPr>
          <w:rFonts w:ascii="Times New Roman" w:hAnsi="Times New Roman" w:cs="Times New Roman"/>
          <w:b/>
          <w:color w:val="auto"/>
          <w:sz w:val="24"/>
          <w:szCs w:val="24"/>
        </w:rPr>
      </w:pPr>
      <w:bookmarkStart w:id="40" w:name="_Toc100399140"/>
      <w:r>
        <w:rPr>
          <w:rFonts w:ascii="Times New Roman" w:hAnsi="Times New Roman" w:cs="Times New Roman"/>
          <w:b/>
          <w:color w:val="auto"/>
          <w:sz w:val="24"/>
          <w:szCs w:val="24"/>
        </w:rPr>
        <w:t>6</w:t>
      </w:r>
      <w:r w:rsidR="0055714C" w:rsidRPr="0057437B">
        <w:rPr>
          <w:rFonts w:ascii="Times New Roman" w:hAnsi="Times New Roman" w:cs="Times New Roman"/>
          <w:b/>
          <w:color w:val="auto"/>
          <w:sz w:val="24"/>
          <w:szCs w:val="24"/>
        </w:rPr>
        <w:t>.2 Processus de revue</w:t>
      </w:r>
      <w:bookmarkEnd w:id="40"/>
    </w:p>
    <w:p w14:paraId="3A653A13" w14:textId="77777777" w:rsidR="0055714C" w:rsidRPr="00391340" w:rsidRDefault="0055714C" w:rsidP="0055714C">
      <w:pPr>
        <w:spacing w:after="120" w:line="240" w:lineRule="auto"/>
        <w:jc w:val="both"/>
        <w:rPr>
          <w:rFonts w:ascii="Times New Roman" w:hAnsi="Times New Roman" w:cs="Times New Roman"/>
          <w:sz w:val="24"/>
          <w:szCs w:val="24"/>
        </w:rPr>
      </w:pPr>
      <w:r w:rsidRPr="0055714C">
        <w:rPr>
          <w:rFonts w:ascii="Times New Roman" w:hAnsi="Times New Roman" w:cs="Times New Roman"/>
          <w:sz w:val="24"/>
          <w:szCs w:val="24"/>
        </w:rPr>
        <w:t xml:space="preserve">Pour la gestion des questions sécuritaires du Projet PISEN, l’existence de zones à risque élevé dans les régions de Diffa et Tillabéri implique un processus de revue continue pour son amélioration. En ce sens, ce processus consistera à faire une mise à jour selon une fréquence rapprochée de la base de données des indicateurs sécuritaires. </w:t>
      </w:r>
    </w:p>
    <w:p w14:paraId="5871B23C" w14:textId="77777777" w:rsidR="0055714C" w:rsidRPr="0055714C" w:rsidRDefault="00946E7A" w:rsidP="0055714C">
      <w:pPr>
        <w:keepNext/>
        <w:keepLines/>
        <w:spacing w:before="40" w:after="0"/>
        <w:ind w:firstLine="709"/>
        <w:jc w:val="both"/>
        <w:outlineLvl w:val="1"/>
        <w:rPr>
          <w:rFonts w:ascii="Times New Roman" w:eastAsiaTheme="majorEastAsia" w:hAnsi="Times New Roman" w:cs="Times New Roman"/>
          <w:b/>
          <w:sz w:val="24"/>
          <w:szCs w:val="24"/>
        </w:rPr>
      </w:pPr>
      <w:bookmarkStart w:id="41" w:name="_Toc100399141"/>
      <w:r>
        <w:rPr>
          <w:rFonts w:ascii="Times New Roman" w:eastAsiaTheme="majorEastAsia" w:hAnsi="Times New Roman" w:cs="Times New Roman"/>
          <w:b/>
          <w:sz w:val="24"/>
          <w:szCs w:val="24"/>
        </w:rPr>
        <w:t>6</w:t>
      </w:r>
      <w:r w:rsidR="0055714C" w:rsidRPr="0055714C">
        <w:rPr>
          <w:rFonts w:ascii="Times New Roman" w:eastAsiaTheme="majorEastAsia" w:hAnsi="Times New Roman" w:cs="Times New Roman"/>
          <w:b/>
          <w:sz w:val="24"/>
          <w:szCs w:val="24"/>
        </w:rPr>
        <w:t>.</w:t>
      </w:r>
      <w:r w:rsidR="0055714C" w:rsidRPr="0057437B">
        <w:rPr>
          <w:rFonts w:ascii="Times New Roman" w:eastAsiaTheme="majorEastAsia" w:hAnsi="Times New Roman" w:cs="Times New Roman"/>
          <w:b/>
          <w:sz w:val="24"/>
          <w:szCs w:val="24"/>
        </w:rPr>
        <w:t>3</w:t>
      </w:r>
      <w:r w:rsidR="0055714C" w:rsidRPr="0055714C">
        <w:rPr>
          <w:rFonts w:ascii="Times New Roman" w:eastAsiaTheme="majorEastAsia" w:hAnsi="Times New Roman" w:cs="Times New Roman"/>
          <w:b/>
          <w:sz w:val="24"/>
          <w:szCs w:val="24"/>
        </w:rPr>
        <w:t xml:space="preserve"> Supervision et suivi des activités</w:t>
      </w:r>
      <w:bookmarkEnd w:id="41"/>
      <w:r w:rsidR="0055714C" w:rsidRPr="0055714C">
        <w:rPr>
          <w:rFonts w:ascii="Times New Roman" w:eastAsiaTheme="majorEastAsia" w:hAnsi="Times New Roman" w:cs="Times New Roman"/>
          <w:b/>
          <w:sz w:val="24"/>
          <w:szCs w:val="24"/>
        </w:rPr>
        <w:t xml:space="preserve"> </w:t>
      </w:r>
    </w:p>
    <w:p w14:paraId="1CCF7EA4" w14:textId="77777777" w:rsidR="0055714C" w:rsidRPr="00391340" w:rsidRDefault="0055714C" w:rsidP="0055714C">
      <w:pPr>
        <w:rPr>
          <w:rFonts w:ascii="Times New Roman" w:hAnsi="Times New Roman" w:cs="Times New Roman"/>
          <w:sz w:val="24"/>
          <w:szCs w:val="24"/>
        </w:rPr>
      </w:pPr>
      <w:r w:rsidRPr="00391340">
        <w:rPr>
          <w:rFonts w:ascii="Times New Roman" w:hAnsi="Times New Roman" w:cs="Times New Roman"/>
          <w:sz w:val="24"/>
          <w:szCs w:val="24"/>
        </w:rPr>
        <w:t>La mise en œuvre des activités du Projet PISEN étant dans un contexte particulier, la question de supervision et de suivi des activités va tenir compte des réalités des trois (3) niveaux de risques sécuritaires</w:t>
      </w:r>
      <w:r w:rsidR="00357078">
        <w:rPr>
          <w:rFonts w:ascii="Times New Roman" w:hAnsi="Times New Roman" w:cs="Times New Roman"/>
          <w:sz w:val="24"/>
          <w:szCs w:val="24"/>
        </w:rPr>
        <w:t>. Selon le niveau de sécurité, la</w:t>
      </w:r>
      <w:r w:rsidR="00776769">
        <w:rPr>
          <w:rFonts w:ascii="Times New Roman" w:hAnsi="Times New Roman" w:cs="Times New Roman"/>
          <w:sz w:val="24"/>
          <w:szCs w:val="24"/>
        </w:rPr>
        <w:t xml:space="preserve"> </w:t>
      </w:r>
      <w:r w:rsidRPr="00391340">
        <w:rPr>
          <w:rFonts w:ascii="Times New Roman" w:hAnsi="Times New Roman" w:cs="Times New Roman"/>
          <w:sz w:val="24"/>
          <w:szCs w:val="24"/>
        </w:rPr>
        <w:t xml:space="preserve">surveillance </w:t>
      </w:r>
      <w:r w:rsidR="00357078">
        <w:rPr>
          <w:rFonts w:ascii="Times New Roman" w:hAnsi="Times New Roman" w:cs="Times New Roman"/>
          <w:sz w:val="24"/>
          <w:szCs w:val="24"/>
        </w:rPr>
        <w:t xml:space="preserve">sera </w:t>
      </w:r>
      <w:r w:rsidRPr="00391340">
        <w:rPr>
          <w:rFonts w:ascii="Times New Roman" w:hAnsi="Times New Roman" w:cs="Times New Roman"/>
          <w:sz w:val="24"/>
          <w:szCs w:val="24"/>
        </w:rPr>
        <w:t>à distance</w:t>
      </w:r>
      <w:r w:rsidR="00776769">
        <w:rPr>
          <w:rFonts w:ascii="Times New Roman" w:hAnsi="Times New Roman" w:cs="Times New Roman"/>
          <w:sz w:val="24"/>
          <w:szCs w:val="24"/>
        </w:rPr>
        <w:t>,</w:t>
      </w:r>
      <w:r w:rsidRPr="00391340">
        <w:rPr>
          <w:rFonts w:ascii="Times New Roman" w:hAnsi="Times New Roman" w:cs="Times New Roman"/>
          <w:sz w:val="24"/>
          <w:szCs w:val="24"/>
        </w:rPr>
        <w:t xml:space="preserve"> </w:t>
      </w:r>
      <w:r w:rsidR="00357078">
        <w:rPr>
          <w:rFonts w:ascii="Times New Roman" w:hAnsi="Times New Roman" w:cs="Times New Roman"/>
          <w:sz w:val="24"/>
          <w:szCs w:val="24"/>
        </w:rPr>
        <w:t xml:space="preserve">ou </w:t>
      </w:r>
      <w:r w:rsidRPr="00391340">
        <w:rPr>
          <w:rFonts w:ascii="Times New Roman" w:hAnsi="Times New Roman" w:cs="Times New Roman"/>
          <w:sz w:val="24"/>
          <w:szCs w:val="24"/>
        </w:rPr>
        <w:t xml:space="preserve">sous escorte </w:t>
      </w:r>
      <w:r w:rsidR="00776769">
        <w:rPr>
          <w:rFonts w:ascii="Times New Roman" w:hAnsi="Times New Roman" w:cs="Times New Roman"/>
          <w:sz w:val="24"/>
          <w:szCs w:val="24"/>
        </w:rPr>
        <w:t>militaire</w:t>
      </w:r>
      <w:r w:rsidR="00357078">
        <w:rPr>
          <w:rFonts w:ascii="Times New Roman" w:hAnsi="Times New Roman" w:cs="Times New Roman"/>
          <w:sz w:val="24"/>
          <w:szCs w:val="24"/>
        </w:rPr>
        <w:t xml:space="preserve"> ou</w:t>
      </w:r>
      <w:r w:rsidRPr="00391340">
        <w:rPr>
          <w:rFonts w:ascii="Times New Roman" w:hAnsi="Times New Roman" w:cs="Times New Roman"/>
          <w:sz w:val="24"/>
          <w:szCs w:val="24"/>
        </w:rPr>
        <w:t xml:space="preserve"> sur le terrain avec des prestataires locaux</w:t>
      </w:r>
      <w:r w:rsidR="00593D57">
        <w:rPr>
          <w:rFonts w:ascii="Times New Roman" w:hAnsi="Times New Roman" w:cs="Times New Roman"/>
          <w:sz w:val="24"/>
          <w:szCs w:val="24"/>
        </w:rPr>
        <w:t>.</w:t>
      </w:r>
    </w:p>
    <w:p w14:paraId="5F3A210F" w14:textId="77777777" w:rsidR="0055714C" w:rsidRDefault="007E2C77" w:rsidP="0055714C">
      <w:pPr>
        <w:rPr>
          <w:rFonts w:ascii="Times New Roman" w:eastAsia="Times New Roman" w:hAnsi="Times New Roman" w:cs="Times New Roman"/>
          <w:b/>
          <w:sz w:val="24"/>
          <w:szCs w:val="24"/>
        </w:rPr>
      </w:pPr>
      <w:r w:rsidRPr="007E2C77">
        <w:rPr>
          <w:rFonts w:ascii="Times New Roman" w:eastAsia="Times New Roman" w:hAnsi="Times New Roman" w:cs="Times New Roman"/>
          <w:b/>
          <w:sz w:val="24"/>
          <w:szCs w:val="24"/>
        </w:rPr>
        <w:t>CONCLUSION</w:t>
      </w:r>
    </w:p>
    <w:p w14:paraId="5413213A" w14:textId="77777777" w:rsidR="007E2C77" w:rsidRPr="007E2C77" w:rsidRDefault="007E2C77" w:rsidP="007E2C77">
      <w:pPr>
        <w:spacing w:after="120" w:line="240" w:lineRule="auto"/>
        <w:jc w:val="both"/>
        <w:rPr>
          <w:rFonts w:ascii="Times New Roman" w:hAnsi="Times New Roman" w:cs="Times New Roman"/>
          <w:sz w:val="24"/>
          <w:szCs w:val="24"/>
        </w:rPr>
      </w:pPr>
      <w:r w:rsidRPr="007E2C77">
        <w:rPr>
          <w:rFonts w:ascii="Times New Roman" w:hAnsi="Times New Roman" w:cs="Times New Roman"/>
          <w:sz w:val="24"/>
          <w:szCs w:val="24"/>
        </w:rPr>
        <w:t>Sur la base de l’E</w:t>
      </w:r>
      <w:r w:rsidR="0095770D">
        <w:rPr>
          <w:rFonts w:ascii="Times New Roman" w:hAnsi="Times New Roman" w:cs="Times New Roman"/>
          <w:sz w:val="24"/>
          <w:szCs w:val="24"/>
        </w:rPr>
        <w:t xml:space="preserve">valuation des </w:t>
      </w:r>
      <w:r w:rsidRPr="007E2C77">
        <w:rPr>
          <w:rFonts w:ascii="Times New Roman" w:hAnsi="Times New Roman" w:cs="Times New Roman"/>
          <w:sz w:val="24"/>
          <w:szCs w:val="24"/>
        </w:rPr>
        <w:t>R</w:t>
      </w:r>
      <w:r w:rsidR="0095770D">
        <w:rPr>
          <w:rFonts w:ascii="Times New Roman" w:hAnsi="Times New Roman" w:cs="Times New Roman"/>
          <w:sz w:val="24"/>
          <w:szCs w:val="24"/>
        </w:rPr>
        <w:t>isques Sécuritaires (ERS)</w:t>
      </w:r>
      <w:r w:rsidRPr="007E2C77">
        <w:rPr>
          <w:rFonts w:ascii="Times New Roman" w:hAnsi="Times New Roman" w:cs="Times New Roman"/>
          <w:sz w:val="24"/>
          <w:szCs w:val="24"/>
        </w:rPr>
        <w:t xml:space="preserve"> mise à jour pour tenir compte de l’évolution très rapide de la sécurité, il a </w:t>
      </w:r>
      <w:r w:rsidRPr="00593D57">
        <w:rPr>
          <w:rFonts w:ascii="Times New Roman" w:hAnsi="Times New Roman" w:cs="Times New Roman"/>
          <w:sz w:val="24"/>
          <w:szCs w:val="24"/>
        </w:rPr>
        <w:t xml:space="preserve">été  </w:t>
      </w:r>
      <w:r w:rsidR="00BD79DA" w:rsidRPr="00593D57">
        <w:rPr>
          <w:rFonts w:ascii="Times New Roman" w:hAnsi="Times New Roman" w:cs="Times New Roman"/>
          <w:sz w:val="24"/>
          <w:szCs w:val="24"/>
        </w:rPr>
        <w:t>élaboré</w:t>
      </w:r>
      <w:r w:rsidR="00BD79DA">
        <w:rPr>
          <w:rFonts w:ascii="Times New Roman" w:hAnsi="Times New Roman" w:cs="Times New Roman"/>
          <w:sz w:val="24"/>
          <w:szCs w:val="24"/>
        </w:rPr>
        <w:t xml:space="preserve"> un </w:t>
      </w:r>
      <w:r w:rsidRPr="007E2C77">
        <w:rPr>
          <w:rFonts w:ascii="Times New Roman" w:hAnsi="Times New Roman" w:cs="Times New Roman"/>
          <w:sz w:val="24"/>
          <w:szCs w:val="24"/>
        </w:rPr>
        <w:t xml:space="preserve">Plan de Gestion de </w:t>
      </w:r>
      <w:r w:rsidR="00593D57">
        <w:rPr>
          <w:rFonts w:ascii="Times New Roman" w:hAnsi="Times New Roman" w:cs="Times New Roman"/>
          <w:sz w:val="24"/>
          <w:szCs w:val="24"/>
        </w:rPr>
        <w:t xml:space="preserve">la </w:t>
      </w:r>
      <w:r w:rsidRPr="007E2C77">
        <w:rPr>
          <w:rFonts w:ascii="Times New Roman" w:hAnsi="Times New Roman" w:cs="Times New Roman"/>
          <w:sz w:val="24"/>
          <w:szCs w:val="24"/>
        </w:rPr>
        <w:t>Sécurité (PGS</w:t>
      </w:r>
      <w:r w:rsidRPr="00593D57">
        <w:rPr>
          <w:rFonts w:ascii="Times New Roman" w:hAnsi="Times New Roman" w:cs="Times New Roman"/>
          <w:sz w:val="24"/>
          <w:szCs w:val="24"/>
        </w:rPr>
        <w:t xml:space="preserve">) </w:t>
      </w:r>
      <w:r w:rsidR="00BD79DA" w:rsidRPr="00593D57">
        <w:rPr>
          <w:rFonts w:ascii="Times New Roman" w:hAnsi="Times New Roman" w:cs="Times New Roman"/>
          <w:sz w:val="24"/>
          <w:szCs w:val="24"/>
        </w:rPr>
        <w:t>dont le présent document constitue un résumé</w:t>
      </w:r>
      <w:r w:rsidR="00BD79DA">
        <w:rPr>
          <w:rFonts w:ascii="Times New Roman" w:hAnsi="Times New Roman" w:cs="Times New Roman"/>
          <w:sz w:val="24"/>
          <w:szCs w:val="24"/>
        </w:rPr>
        <w:t>. Le PGS</w:t>
      </w:r>
      <w:r w:rsidRPr="007E2C77">
        <w:rPr>
          <w:rFonts w:ascii="Times New Roman" w:hAnsi="Times New Roman" w:cs="Times New Roman"/>
          <w:sz w:val="24"/>
          <w:szCs w:val="24"/>
        </w:rPr>
        <w:t xml:space="preserve"> donne les orientations et consignes particulières en matière de sécurité dans la mise en œuvre des activités du PISEN. </w:t>
      </w:r>
    </w:p>
    <w:p w14:paraId="7CEE93AB" w14:textId="77777777" w:rsidR="007E2C77" w:rsidRPr="007E2C77" w:rsidRDefault="007E2C77" w:rsidP="00386CB3">
      <w:pPr>
        <w:spacing w:after="120" w:line="240" w:lineRule="auto"/>
        <w:jc w:val="both"/>
        <w:rPr>
          <w:rFonts w:ascii="Times New Roman" w:hAnsi="Times New Roman" w:cs="Times New Roman"/>
          <w:sz w:val="24"/>
          <w:szCs w:val="24"/>
        </w:rPr>
      </w:pPr>
      <w:r w:rsidRPr="007E2C77">
        <w:rPr>
          <w:rFonts w:ascii="Times New Roman" w:hAnsi="Times New Roman" w:cs="Times New Roman"/>
          <w:sz w:val="24"/>
          <w:szCs w:val="24"/>
        </w:rPr>
        <w:t xml:space="preserve">C’est un document adressé aux gestionnaires directs à savoir l’UGP </w:t>
      </w:r>
      <w:r w:rsidRPr="00593D57">
        <w:rPr>
          <w:rFonts w:ascii="Times New Roman" w:hAnsi="Times New Roman" w:cs="Times New Roman"/>
          <w:sz w:val="24"/>
          <w:szCs w:val="24"/>
        </w:rPr>
        <w:t xml:space="preserve">sous </w:t>
      </w:r>
      <w:r w:rsidR="00386CB3" w:rsidRPr="00593D57">
        <w:rPr>
          <w:rFonts w:ascii="Times New Roman" w:hAnsi="Times New Roman" w:cs="Times New Roman"/>
          <w:sz w:val="24"/>
          <w:szCs w:val="24"/>
        </w:rPr>
        <w:t>tutelle du</w:t>
      </w:r>
      <w:r w:rsidR="00386CB3">
        <w:rPr>
          <w:rFonts w:ascii="Times New Roman" w:hAnsi="Times New Roman" w:cs="Times New Roman"/>
          <w:sz w:val="24"/>
          <w:szCs w:val="24"/>
        </w:rPr>
        <w:t xml:space="preserve"> </w:t>
      </w:r>
      <w:r w:rsidRPr="007E2C77">
        <w:rPr>
          <w:rFonts w:ascii="Times New Roman" w:hAnsi="Times New Roman" w:cs="Times New Roman"/>
          <w:sz w:val="24"/>
          <w:szCs w:val="24"/>
        </w:rPr>
        <w:t xml:space="preserve">Cabinet du premier Ministre, le Ministère du Plan, </w:t>
      </w:r>
      <w:r w:rsidR="00386CB3" w:rsidRPr="00593D57">
        <w:rPr>
          <w:rFonts w:ascii="Times New Roman" w:hAnsi="Times New Roman" w:cs="Times New Roman"/>
          <w:sz w:val="24"/>
          <w:szCs w:val="24"/>
        </w:rPr>
        <w:t xml:space="preserve">les ministères sectoriels (Hydraulique et Assainissement, Agriculture, Elevage, Environnement et </w:t>
      </w:r>
      <w:r w:rsidR="0095770D">
        <w:rPr>
          <w:rFonts w:ascii="Times New Roman" w:hAnsi="Times New Roman" w:cs="Times New Roman"/>
          <w:sz w:val="24"/>
          <w:szCs w:val="24"/>
        </w:rPr>
        <w:t>L</w:t>
      </w:r>
      <w:r w:rsidR="00386CB3" w:rsidRPr="00593D57">
        <w:rPr>
          <w:rFonts w:ascii="Times New Roman" w:hAnsi="Times New Roman" w:cs="Times New Roman"/>
          <w:sz w:val="24"/>
          <w:szCs w:val="24"/>
        </w:rPr>
        <w:t xml:space="preserve">utte </w:t>
      </w:r>
      <w:r w:rsidR="0095770D">
        <w:rPr>
          <w:rFonts w:ascii="Times New Roman" w:hAnsi="Times New Roman" w:cs="Times New Roman"/>
          <w:sz w:val="24"/>
          <w:szCs w:val="24"/>
        </w:rPr>
        <w:t>C</w:t>
      </w:r>
      <w:r w:rsidR="00386CB3" w:rsidRPr="00593D57">
        <w:rPr>
          <w:rFonts w:ascii="Times New Roman" w:hAnsi="Times New Roman" w:cs="Times New Roman"/>
          <w:sz w:val="24"/>
          <w:szCs w:val="24"/>
        </w:rPr>
        <w:t xml:space="preserve">ontre la </w:t>
      </w:r>
      <w:r w:rsidR="0095770D">
        <w:rPr>
          <w:rFonts w:ascii="Times New Roman" w:hAnsi="Times New Roman" w:cs="Times New Roman"/>
          <w:sz w:val="24"/>
          <w:szCs w:val="24"/>
        </w:rPr>
        <w:t>D</w:t>
      </w:r>
      <w:r w:rsidR="00386CB3" w:rsidRPr="00593D57">
        <w:rPr>
          <w:rFonts w:ascii="Times New Roman" w:hAnsi="Times New Roman" w:cs="Times New Roman"/>
          <w:sz w:val="24"/>
          <w:szCs w:val="24"/>
        </w:rPr>
        <w:t xml:space="preserve">ésertification), </w:t>
      </w:r>
      <w:r w:rsidRPr="00593D57">
        <w:rPr>
          <w:rFonts w:ascii="Times New Roman" w:hAnsi="Times New Roman" w:cs="Times New Roman"/>
          <w:sz w:val="24"/>
          <w:szCs w:val="24"/>
        </w:rPr>
        <w:t>les partenaires régionaux (Gouverneurs</w:t>
      </w:r>
      <w:r w:rsidR="00386CB3" w:rsidRPr="00593D57">
        <w:rPr>
          <w:rFonts w:ascii="Times New Roman" w:hAnsi="Times New Roman" w:cs="Times New Roman"/>
          <w:sz w:val="24"/>
          <w:szCs w:val="24"/>
        </w:rPr>
        <w:t xml:space="preserve"> et Maires), ainsi que </w:t>
      </w:r>
      <w:r w:rsidRPr="00593D57">
        <w:rPr>
          <w:rFonts w:ascii="Times New Roman" w:hAnsi="Times New Roman" w:cs="Times New Roman"/>
          <w:sz w:val="24"/>
          <w:szCs w:val="24"/>
        </w:rPr>
        <w:t xml:space="preserve">les </w:t>
      </w:r>
      <w:r w:rsidR="00386CB3" w:rsidRPr="00593D57">
        <w:rPr>
          <w:rFonts w:ascii="Times New Roman" w:hAnsi="Times New Roman" w:cs="Times New Roman"/>
          <w:sz w:val="24"/>
          <w:szCs w:val="24"/>
        </w:rPr>
        <w:t xml:space="preserve">Entreprises et leurs </w:t>
      </w:r>
      <w:r w:rsidRPr="00593D57">
        <w:rPr>
          <w:rFonts w:ascii="Times New Roman" w:hAnsi="Times New Roman" w:cs="Times New Roman"/>
          <w:sz w:val="24"/>
          <w:szCs w:val="24"/>
        </w:rPr>
        <w:t>sous</w:t>
      </w:r>
      <w:r w:rsidRPr="007E2C77">
        <w:rPr>
          <w:rFonts w:ascii="Times New Roman" w:hAnsi="Times New Roman" w:cs="Times New Roman"/>
          <w:sz w:val="24"/>
          <w:szCs w:val="24"/>
        </w:rPr>
        <w:t xml:space="preserve">-traitants </w:t>
      </w:r>
      <w:r w:rsidR="00386CB3" w:rsidRPr="00593D57">
        <w:rPr>
          <w:rFonts w:ascii="Times New Roman" w:hAnsi="Times New Roman" w:cs="Times New Roman"/>
          <w:sz w:val="24"/>
          <w:szCs w:val="24"/>
        </w:rPr>
        <w:t>ou autres prestataires</w:t>
      </w:r>
      <w:r w:rsidR="00386CB3">
        <w:rPr>
          <w:rFonts w:ascii="Times New Roman" w:hAnsi="Times New Roman" w:cs="Times New Roman"/>
          <w:sz w:val="24"/>
          <w:szCs w:val="24"/>
        </w:rPr>
        <w:t xml:space="preserve"> </w:t>
      </w:r>
      <w:r w:rsidRPr="007E2C77">
        <w:rPr>
          <w:rFonts w:ascii="Times New Roman" w:hAnsi="Times New Roman" w:cs="Times New Roman"/>
          <w:sz w:val="24"/>
          <w:szCs w:val="24"/>
        </w:rPr>
        <w:t>en vue de permettre l’atteinte des objectifs dans un contexte prenant en charge le risque sécuritaire. Il est flexible dans le sens de réaliser les activités selon le niveau de risques sécuritaires et donne des orientations pour implémenter le Projet.</w:t>
      </w:r>
    </w:p>
    <w:p w14:paraId="67A41303" w14:textId="77777777" w:rsidR="007E2C77" w:rsidRPr="007E2C77" w:rsidRDefault="007E2C77" w:rsidP="00386CB3">
      <w:pPr>
        <w:spacing w:after="120" w:line="240" w:lineRule="auto"/>
        <w:jc w:val="both"/>
        <w:rPr>
          <w:rFonts w:ascii="Times New Roman" w:eastAsia="Times New Roman" w:hAnsi="Times New Roman" w:cs="Times New Roman"/>
          <w:b/>
          <w:sz w:val="24"/>
          <w:szCs w:val="24"/>
        </w:rPr>
      </w:pPr>
      <w:r w:rsidRPr="007E2C77">
        <w:rPr>
          <w:rFonts w:ascii="Times New Roman" w:hAnsi="Times New Roman" w:cs="Times New Roman"/>
          <w:sz w:val="24"/>
          <w:szCs w:val="24"/>
        </w:rPr>
        <w:t xml:space="preserve">Compte tenu du caractère volatile de la question sécuritaire, l’Assistant Technique qui sera recruté </w:t>
      </w:r>
      <w:r w:rsidR="0095770D">
        <w:rPr>
          <w:rFonts w:ascii="Times New Roman" w:hAnsi="Times New Roman" w:cs="Times New Roman"/>
          <w:sz w:val="24"/>
          <w:szCs w:val="24"/>
        </w:rPr>
        <w:t xml:space="preserve">au sein de l’UGP, </w:t>
      </w:r>
      <w:r w:rsidRPr="007E2C77">
        <w:rPr>
          <w:rFonts w:ascii="Times New Roman" w:hAnsi="Times New Roman" w:cs="Times New Roman"/>
          <w:sz w:val="24"/>
          <w:szCs w:val="24"/>
        </w:rPr>
        <w:t xml:space="preserve">veillera à sa mise en œuvre et notamment la mise à jour des données de sécurité pouvant orienter la prise de décision pour la conduite ou non de certaines activités. </w:t>
      </w:r>
    </w:p>
    <w:sectPr w:rsidR="007E2C77" w:rsidRPr="007E2C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9C3E" w16cex:dateUtc="2022-05-27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86122" w16cid:durableId="263A9C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F5E42" w14:textId="77777777" w:rsidR="00FE159C" w:rsidRDefault="00FE159C" w:rsidP="006910E2">
      <w:pPr>
        <w:spacing w:after="0" w:line="240" w:lineRule="auto"/>
      </w:pPr>
      <w:r>
        <w:separator/>
      </w:r>
    </w:p>
  </w:endnote>
  <w:endnote w:type="continuationSeparator" w:id="0">
    <w:p w14:paraId="20A9F7D4" w14:textId="77777777" w:rsidR="00FE159C" w:rsidRDefault="00FE159C" w:rsidP="0069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2755E" w14:textId="77777777" w:rsidR="00FE159C" w:rsidRDefault="00FE159C" w:rsidP="006910E2">
      <w:pPr>
        <w:spacing w:after="0" w:line="240" w:lineRule="auto"/>
      </w:pPr>
      <w:r>
        <w:separator/>
      </w:r>
    </w:p>
  </w:footnote>
  <w:footnote w:type="continuationSeparator" w:id="0">
    <w:p w14:paraId="536B1387" w14:textId="77777777" w:rsidR="00FE159C" w:rsidRDefault="00FE159C" w:rsidP="00691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A4C"/>
    <w:multiLevelType w:val="hybridMultilevel"/>
    <w:tmpl w:val="97F2A1E6"/>
    <w:lvl w:ilvl="0" w:tplc="040C0001">
      <w:start w:val="1"/>
      <w:numFmt w:val="bullet"/>
      <w:lvlText w:val=""/>
      <w:lvlJc w:val="left"/>
      <w:pPr>
        <w:ind w:left="1069"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61086F"/>
    <w:multiLevelType w:val="hybridMultilevel"/>
    <w:tmpl w:val="4CBAEC30"/>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2" w15:restartNumberingAfterBreak="0">
    <w:nsid w:val="076D1DD2"/>
    <w:multiLevelType w:val="hybridMultilevel"/>
    <w:tmpl w:val="93F0FAF2"/>
    <w:lvl w:ilvl="0" w:tplc="040C0001">
      <w:start w:val="1"/>
      <w:numFmt w:val="bullet"/>
      <w:lvlText w:val=""/>
      <w:lvlJc w:val="left"/>
      <w:pPr>
        <w:ind w:left="1429" w:hanging="360"/>
      </w:pPr>
      <w:rPr>
        <w:rFonts w:ascii="Symbol" w:hAnsi="Symbol" w:cs="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0CEF550D"/>
    <w:multiLevelType w:val="hybridMultilevel"/>
    <w:tmpl w:val="111265EC"/>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13D92D63"/>
    <w:multiLevelType w:val="hybridMultilevel"/>
    <w:tmpl w:val="E0AA9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DF0D3C"/>
    <w:multiLevelType w:val="hybridMultilevel"/>
    <w:tmpl w:val="E03E34E6"/>
    <w:lvl w:ilvl="0" w:tplc="040C0001">
      <w:start w:val="1"/>
      <w:numFmt w:val="bullet"/>
      <w:lvlText w:val=""/>
      <w:lvlJc w:val="left"/>
      <w:pPr>
        <w:ind w:left="1776" w:hanging="360"/>
      </w:pPr>
      <w:rPr>
        <w:rFonts w:ascii="Symbol" w:hAnsi="Symbol" w:cs="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6" w15:restartNumberingAfterBreak="0">
    <w:nsid w:val="25590B60"/>
    <w:multiLevelType w:val="hybridMultilevel"/>
    <w:tmpl w:val="CD888BB6"/>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7" w15:restartNumberingAfterBreak="0">
    <w:nsid w:val="25DF1D3B"/>
    <w:multiLevelType w:val="hybridMultilevel"/>
    <w:tmpl w:val="51AE02CC"/>
    <w:lvl w:ilvl="0" w:tplc="2AE4BF6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B2FB7"/>
    <w:multiLevelType w:val="hybridMultilevel"/>
    <w:tmpl w:val="95B2638A"/>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9" w15:restartNumberingAfterBreak="0">
    <w:nsid w:val="33E51DD9"/>
    <w:multiLevelType w:val="multilevel"/>
    <w:tmpl w:val="6F8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0768D"/>
    <w:multiLevelType w:val="hybridMultilevel"/>
    <w:tmpl w:val="7E70EBA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cs="Wingdings" w:hint="default"/>
      </w:rPr>
    </w:lvl>
    <w:lvl w:ilvl="3" w:tplc="040C0001" w:tentative="1">
      <w:start w:val="1"/>
      <w:numFmt w:val="bullet"/>
      <w:lvlText w:val=""/>
      <w:lvlJc w:val="left"/>
      <w:pPr>
        <w:ind w:left="4296" w:hanging="360"/>
      </w:pPr>
      <w:rPr>
        <w:rFonts w:ascii="Symbol" w:hAnsi="Symbol" w:cs="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cs="Wingdings" w:hint="default"/>
      </w:rPr>
    </w:lvl>
    <w:lvl w:ilvl="6" w:tplc="040C0001" w:tentative="1">
      <w:start w:val="1"/>
      <w:numFmt w:val="bullet"/>
      <w:lvlText w:val=""/>
      <w:lvlJc w:val="left"/>
      <w:pPr>
        <w:ind w:left="6456" w:hanging="360"/>
      </w:pPr>
      <w:rPr>
        <w:rFonts w:ascii="Symbol" w:hAnsi="Symbol" w:cs="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cs="Wingdings" w:hint="default"/>
      </w:rPr>
    </w:lvl>
  </w:abstractNum>
  <w:abstractNum w:abstractNumId="11" w15:restartNumberingAfterBreak="0">
    <w:nsid w:val="5C7700E3"/>
    <w:multiLevelType w:val="hybridMultilevel"/>
    <w:tmpl w:val="21A87D04"/>
    <w:lvl w:ilvl="0" w:tplc="D12E4688">
      <w:start w:val="4"/>
      <w:numFmt w:val="bullet"/>
      <w:lvlText w:val="-"/>
      <w:lvlJc w:val="left"/>
      <w:pPr>
        <w:ind w:left="1069" w:hanging="360"/>
      </w:pPr>
      <w:rPr>
        <w:rFonts w:ascii="Times New Roman" w:eastAsiaTheme="minorHAnsi" w:hAnsi="Times New Roman" w:cs="Times New Roman" w:hint="default"/>
        <w:sz w:val="28"/>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5E3E4BC5"/>
    <w:multiLevelType w:val="multilevel"/>
    <w:tmpl w:val="B4CEBA4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591A24"/>
    <w:multiLevelType w:val="hybridMultilevel"/>
    <w:tmpl w:val="3EF80094"/>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66830654"/>
    <w:multiLevelType w:val="hybridMultilevel"/>
    <w:tmpl w:val="F0301EAA"/>
    <w:lvl w:ilvl="0" w:tplc="2AE4BF6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D86331"/>
    <w:multiLevelType w:val="hybridMultilevel"/>
    <w:tmpl w:val="93525BD6"/>
    <w:lvl w:ilvl="0" w:tplc="2AE4BF6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997549"/>
    <w:multiLevelType w:val="hybridMultilevel"/>
    <w:tmpl w:val="82768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3C6EF6"/>
    <w:multiLevelType w:val="hybridMultilevel"/>
    <w:tmpl w:val="3E44301E"/>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18" w15:restartNumberingAfterBreak="0">
    <w:nsid w:val="7AEF7EF1"/>
    <w:multiLevelType w:val="hybridMultilevel"/>
    <w:tmpl w:val="7C8A3386"/>
    <w:lvl w:ilvl="0" w:tplc="2AE4BF6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8"/>
  </w:num>
  <w:num w:numId="5">
    <w:abstractNumId w:val="5"/>
  </w:num>
  <w:num w:numId="6">
    <w:abstractNumId w:val="0"/>
  </w:num>
  <w:num w:numId="7">
    <w:abstractNumId w:val="17"/>
  </w:num>
  <w:num w:numId="8">
    <w:abstractNumId w:val="11"/>
  </w:num>
  <w:num w:numId="9">
    <w:abstractNumId w:val="1"/>
  </w:num>
  <w:num w:numId="10">
    <w:abstractNumId w:val="3"/>
  </w:num>
  <w:num w:numId="11">
    <w:abstractNumId w:val="14"/>
  </w:num>
  <w:num w:numId="12">
    <w:abstractNumId w:val="7"/>
  </w:num>
  <w:num w:numId="13">
    <w:abstractNumId w:val="18"/>
  </w:num>
  <w:num w:numId="14">
    <w:abstractNumId w:val="15"/>
  </w:num>
  <w:num w:numId="15">
    <w:abstractNumId w:val="13"/>
  </w:num>
  <w:num w:numId="16">
    <w:abstractNumId w:val="4"/>
  </w:num>
  <w:num w:numId="17">
    <w:abstractNumId w:val="1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2D"/>
    <w:rsid w:val="000317E3"/>
    <w:rsid w:val="000467FD"/>
    <w:rsid w:val="00051412"/>
    <w:rsid w:val="00080E5E"/>
    <w:rsid w:val="0013174E"/>
    <w:rsid w:val="001956AA"/>
    <w:rsid w:val="002875B3"/>
    <w:rsid w:val="002B63F9"/>
    <w:rsid w:val="002C683E"/>
    <w:rsid w:val="002D232D"/>
    <w:rsid w:val="00316DEA"/>
    <w:rsid w:val="003366FC"/>
    <w:rsid w:val="00357078"/>
    <w:rsid w:val="00386CB3"/>
    <w:rsid w:val="00391340"/>
    <w:rsid w:val="003C0CBD"/>
    <w:rsid w:val="003E5192"/>
    <w:rsid w:val="00432F13"/>
    <w:rsid w:val="004377DD"/>
    <w:rsid w:val="004966DB"/>
    <w:rsid w:val="004B074D"/>
    <w:rsid w:val="004B4D6F"/>
    <w:rsid w:val="004B60AA"/>
    <w:rsid w:val="004C4A24"/>
    <w:rsid w:val="00541566"/>
    <w:rsid w:val="0055714C"/>
    <w:rsid w:val="005650BB"/>
    <w:rsid w:val="0057437B"/>
    <w:rsid w:val="00593D57"/>
    <w:rsid w:val="005C244A"/>
    <w:rsid w:val="006019FD"/>
    <w:rsid w:val="006910E2"/>
    <w:rsid w:val="006D32D1"/>
    <w:rsid w:val="006D3870"/>
    <w:rsid w:val="007251FA"/>
    <w:rsid w:val="007267AD"/>
    <w:rsid w:val="0073039B"/>
    <w:rsid w:val="00732C35"/>
    <w:rsid w:val="00776769"/>
    <w:rsid w:val="007879C3"/>
    <w:rsid w:val="00787AA2"/>
    <w:rsid w:val="007E2C77"/>
    <w:rsid w:val="00866BCB"/>
    <w:rsid w:val="008A78AF"/>
    <w:rsid w:val="008F4865"/>
    <w:rsid w:val="00946E7A"/>
    <w:rsid w:val="0095770D"/>
    <w:rsid w:val="00972F68"/>
    <w:rsid w:val="00977F34"/>
    <w:rsid w:val="009B0004"/>
    <w:rsid w:val="009D4812"/>
    <w:rsid w:val="009F2FFB"/>
    <w:rsid w:val="00A51F27"/>
    <w:rsid w:val="00A906B9"/>
    <w:rsid w:val="00AA5E38"/>
    <w:rsid w:val="00AE44C9"/>
    <w:rsid w:val="00AE7BE6"/>
    <w:rsid w:val="00B02C90"/>
    <w:rsid w:val="00B22744"/>
    <w:rsid w:val="00B5616A"/>
    <w:rsid w:val="00BA4DA0"/>
    <w:rsid w:val="00BD79DA"/>
    <w:rsid w:val="00C23DFB"/>
    <w:rsid w:val="00C53A44"/>
    <w:rsid w:val="00C6325F"/>
    <w:rsid w:val="00C63B98"/>
    <w:rsid w:val="00C97033"/>
    <w:rsid w:val="00CC3DA1"/>
    <w:rsid w:val="00CF3D11"/>
    <w:rsid w:val="00D97FEB"/>
    <w:rsid w:val="00DA7D6E"/>
    <w:rsid w:val="00E819BB"/>
    <w:rsid w:val="00EE1AB1"/>
    <w:rsid w:val="00F144C8"/>
    <w:rsid w:val="00F210B6"/>
    <w:rsid w:val="00F26388"/>
    <w:rsid w:val="00FA1BC4"/>
    <w:rsid w:val="00FA5133"/>
    <w:rsid w:val="00FD2001"/>
    <w:rsid w:val="00FE1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2D29"/>
  <w15:chartTrackingRefBased/>
  <w15:docId w15:val="{99D6DFFA-7305-4105-B72A-0B17529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87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87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9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879C3"/>
    <w:rPr>
      <w:rFonts w:asciiTheme="majorHAnsi" w:eastAsiaTheme="majorEastAsia" w:hAnsiTheme="majorHAnsi" w:cstheme="majorBidi"/>
      <w:color w:val="2E74B5" w:themeColor="accent1" w:themeShade="BF"/>
      <w:sz w:val="26"/>
      <w:szCs w:val="26"/>
    </w:rPr>
  </w:style>
  <w:style w:type="table" w:styleId="Grilledutableau">
    <w:name w:val="Table Grid"/>
    <w:aliases w:val="网格型-中对齐,网格型!"/>
    <w:basedOn w:val="TableauNormal"/>
    <w:uiPriority w:val="59"/>
    <w:rsid w:val="00972F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Normal 2,Main numbered paragraph,1.1.1_List Paragraph,List_Paragraph,Multilevel para_II,List Paragraph1,List Paragraph 1.1.1,References,Bullets,Liste 1,Numbered List Paragraph,ReferencesCxSpLast,lp1,RM1"/>
    <w:basedOn w:val="Normal"/>
    <w:link w:val="ParagraphedelisteCar"/>
    <w:uiPriority w:val="1"/>
    <w:qFormat/>
    <w:rsid w:val="006D3870"/>
    <w:pPr>
      <w:ind w:left="720"/>
      <w:contextualSpacing/>
    </w:pPr>
  </w:style>
  <w:style w:type="character" w:customStyle="1" w:styleId="ParagraphedelisteCar">
    <w:name w:val="Paragraphe de liste Car"/>
    <w:aliases w:val="List Paragraph (numbered (a)) Car,Normal 2 Car,Main numbered paragraph Car,1.1.1_List Paragraph Car,List_Paragraph Car,Multilevel para_II Car,List Paragraph1 Car,List Paragraph 1.1.1 Car,References Car,Bullets Car,Liste 1 Car"/>
    <w:basedOn w:val="Policepardfaut"/>
    <w:link w:val="Paragraphedeliste"/>
    <w:uiPriority w:val="34"/>
    <w:qFormat/>
    <w:locked/>
    <w:rsid w:val="006D3870"/>
  </w:style>
  <w:style w:type="paragraph" w:styleId="TitreTR">
    <w:name w:val="toa heading"/>
    <w:aliases w:val="AdditionalHeading"/>
    <w:basedOn w:val="Corpsdetexte"/>
    <w:next w:val="Corpsdetexte"/>
    <w:uiPriority w:val="9"/>
    <w:qFormat/>
    <w:rsid w:val="004966DB"/>
    <w:pPr>
      <w:suppressAutoHyphens/>
      <w:spacing w:before="120" w:after="0" w:line="260" w:lineRule="atLeast"/>
      <w:jc w:val="both"/>
    </w:pPr>
    <w:rPr>
      <w:rFonts w:ascii="Arial" w:eastAsia="Calibri" w:hAnsi="Arial" w:cs="Arial"/>
      <w:b/>
      <w:bCs/>
      <w:color w:val="00AAFF"/>
      <w:sz w:val="32"/>
      <w:szCs w:val="24"/>
    </w:rPr>
  </w:style>
  <w:style w:type="paragraph" w:styleId="Corpsdetexte">
    <w:name w:val="Body Text"/>
    <w:basedOn w:val="Normal"/>
    <w:link w:val="CorpsdetexteCar"/>
    <w:uiPriority w:val="99"/>
    <w:semiHidden/>
    <w:unhideWhenUsed/>
    <w:rsid w:val="004966DB"/>
    <w:pPr>
      <w:spacing w:after="120"/>
    </w:pPr>
  </w:style>
  <w:style w:type="character" w:customStyle="1" w:styleId="CorpsdetexteCar">
    <w:name w:val="Corps de texte Car"/>
    <w:basedOn w:val="Policepardfaut"/>
    <w:link w:val="Corpsdetexte"/>
    <w:uiPriority w:val="99"/>
    <w:semiHidden/>
    <w:rsid w:val="004966DB"/>
  </w:style>
  <w:style w:type="paragraph" w:styleId="Notedebasdepage">
    <w:name w:val="footnote text"/>
    <w:basedOn w:val="Normal"/>
    <w:link w:val="NotedebasdepageCar"/>
    <w:uiPriority w:val="99"/>
    <w:semiHidden/>
    <w:unhideWhenUsed/>
    <w:rsid w:val="006910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10E2"/>
    <w:rPr>
      <w:sz w:val="20"/>
      <w:szCs w:val="20"/>
    </w:rPr>
  </w:style>
  <w:style w:type="character" w:styleId="Appelnotedebasdep">
    <w:name w:val="footnote reference"/>
    <w:basedOn w:val="Policepardfaut"/>
    <w:uiPriority w:val="99"/>
    <w:unhideWhenUsed/>
    <w:rsid w:val="006910E2"/>
    <w:rPr>
      <w:vertAlign w:val="superscript"/>
    </w:rPr>
  </w:style>
  <w:style w:type="character" w:styleId="Marquedecommentaire">
    <w:name w:val="annotation reference"/>
    <w:basedOn w:val="Policepardfaut"/>
    <w:uiPriority w:val="99"/>
    <w:semiHidden/>
    <w:unhideWhenUsed/>
    <w:rsid w:val="004B60AA"/>
    <w:rPr>
      <w:sz w:val="16"/>
      <w:szCs w:val="16"/>
    </w:rPr>
  </w:style>
  <w:style w:type="paragraph" w:styleId="Commentaire">
    <w:name w:val="annotation text"/>
    <w:basedOn w:val="Normal"/>
    <w:link w:val="CommentaireCar"/>
    <w:uiPriority w:val="99"/>
    <w:semiHidden/>
    <w:unhideWhenUsed/>
    <w:rsid w:val="004B60AA"/>
    <w:pPr>
      <w:spacing w:line="240" w:lineRule="auto"/>
    </w:pPr>
    <w:rPr>
      <w:sz w:val="20"/>
      <w:szCs w:val="20"/>
    </w:rPr>
  </w:style>
  <w:style w:type="character" w:customStyle="1" w:styleId="CommentaireCar">
    <w:name w:val="Commentaire Car"/>
    <w:basedOn w:val="Policepardfaut"/>
    <w:link w:val="Commentaire"/>
    <w:uiPriority w:val="99"/>
    <w:semiHidden/>
    <w:rsid w:val="004B60AA"/>
    <w:rPr>
      <w:sz w:val="20"/>
      <w:szCs w:val="20"/>
    </w:rPr>
  </w:style>
  <w:style w:type="paragraph" w:styleId="Objetducommentaire">
    <w:name w:val="annotation subject"/>
    <w:basedOn w:val="Commentaire"/>
    <w:next w:val="Commentaire"/>
    <w:link w:val="ObjetducommentaireCar"/>
    <w:uiPriority w:val="99"/>
    <w:semiHidden/>
    <w:unhideWhenUsed/>
    <w:rsid w:val="004B60AA"/>
    <w:rPr>
      <w:b/>
      <w:bCs/>
    </w:rPr>
  </w:style>
  <w:style w:type="character" w:customStyle="1" w:styleId="ObjetducommentaireCar">
    <w:name w:val="Objet du commentaire Car"/>
    <w:basedOn w:val="CommentaireCar"/>
    <w:link w:val="Objetducommentaire"/>
    <w:uiPriority w:val="99"/>
    <w:semiHidden/>
    <w:rsid w:val="004B60AA"/>
    <w:rPr>
      <w:b/>
      <w:bCs/>
      <w:sz w:val="20"/>
      <w:szCs w:val="20"/>
    </w:rPr>
  </w:style>
  <w:style w:type="paragraph" w:styleId="Textedebulles">
    <w:name w:val="Balloon Text"/>
    <w:basedOn w:val="Normal"/>
    <w:link w:val="TextedebullesCar"/>
    <w:uiPriority w:val="99"/>
    <w:semiHidden/>
    <w:unhideWhenUsed/>
    <w:rsid w:val="00131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5A16-6B0F-4B71-A4DA-CC0FC4B3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3214</Words>
  <Characters>17680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 Soumaila</dc:creator>
  <cp:keywords/>
  <dc:description/>
  <cp:lastModifiedBy>Alfa Soumaila</cp:lastModifiedBy>
  <cp:revision>2</cp:revision>
  <dcterms:created xsi:type="dcterms:W3CDTF">2022-05-28T12:51:00Z</dcterms:created>
  <dcterms:modified xsi:type="dcterms:W3CDTF">2022-05-28T12:51:00Z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1837717853</vt:i4>
  </property>
</Properties>
</file>